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right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0" w:name="P1959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принятия решений о разработке,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формировании, реализации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Еврейской автономной области 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их реализации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Еврейской автономной области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372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64"/>
        <w:gridCol w:w="4395"/>
        <w:gridCol w:w="992"/>
        <w:gridCol w:w="1276"/>
        <w:gridCol w:w="1701"/>
        <w:gridCol w:w="992"/>
        <w:gridCol w:w="850"/>
        <w:gridCol w:w="3402"/>
      </w:tblGrid>
      <w:tr>
        <w:tblPrEx/>
        <w:trPr>
          <w:cantSplit/>
        </w:trPr>
        <w:tc>
          <w:tcPr>
            <w:tcW w:w="764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Cs w:val="22"/>
              </w:rPr>
              <w:t xml:space="preserve">/п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целевого показателя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изм.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Плановое значение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значение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 фактического значения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от</w:t>
            </w:r>
            <w:r>
              <w:rPr>
                <w:rFonts w:ascii="Times New Roman" w:hAnsi="Times New Roman" w:cs="Times New Roman"/>
                <w:szCs w:val="22"/>
              </w:rPr>
              <w:t xml:space="preserve"> планового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Обоснование причин отклонения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cantSplit/>
        </w:trPr>
        <w:tc>
          <w:tcPr>
            <w:tcW w:w="76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39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-/+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gridSpan w:val="8"/>
            <w:tcW w:w="1437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2 «Развитие малого и среднего предпринимательства в Еврейской автономной области» на 2019 – 2025 годы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pStyle w:val="87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субъектов МСП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23,8</w:t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- 11,2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-32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vAlign w:val="center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Align w:val="center"/>
            <w:textDirection w:val="lrTb"/>
            <w:noWrap w:val="false"/>
          </w:tcPr>
          <w:p>
            <w:pPr>
              <w:pStyle w:val="87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работников, занятых у субъектов МСП, в общей численности занятого населения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25,38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16,1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- 9,28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-36,6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pStyle w:val="87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20,8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*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Коэффициент «рождаемости» субъектов МСП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130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153,5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+ 23,5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+18,08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2.5.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субъектов МСП, получивших комплексные услуги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единиц 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0,08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0,079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  <w:t xml:space="preserve"> 0,0</w:t>
            </w: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-1,25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2.6.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субъектов МСП-экспортеров, заключивших экспортные контракты по результатам услуг ЦПЭ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+50</w:t>
            </w:r>
            <w:r>
              <w:rPr>
                <w:rFonts w:ascii="Times New Roman" w:hAnsi="Times New Roman" w:cs="Times New Roman"/>
                <w:szCs w:val="22"/>
              </w:rPr>
              <w:t xml:space="preserve">,00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2.7.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подготовленных  тренеров для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обучения целевых групп по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утвержденным методикам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человек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2.8.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действующих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микрозаймов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, выданных МФО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67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24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+55,81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2.9.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РГО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млн. рублей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2,8825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243,311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+ 240,429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83,4 раза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2.10.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самозанятых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человек, накопленным итогом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0,932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3,447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+ 2,515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+269,85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2.11.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Объем выданных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самозанятым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гражданам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микрозаймов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по льготной ставке государственными МФО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млн. рублей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1,4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3,8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+ 2,4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+171,42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2.12.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самозанятых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граждан,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получивших услуги, в том числе прошедших программы обучения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человек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0,022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0,11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+ 0,088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+400,0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2.13.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индивидуальных предпринимателей, применяющих патентную систему налогообложения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0,721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1,290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+ 0,569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+78,92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2.14.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Объем финансовой поддержки, предоставленной начинающим предпринимателям (кредиты, лизинг, займы), обеспеченной поручительствами РГО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млрд. рублей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0,0002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0,001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+ 0,0008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+400,0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2.15.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+57,14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3256"/>
        </w:trPr>
        <w:tc>
          <w:tcPr>
            <w:tcW w:w="764" w:type="dxa"/>
            <w:textDirection w:val="lrTb"/>
            <w:noWrap w:val="false"/>
          </w:tcPr>
          <w:p>
            <w:pPr>
              <w:pStyle w:val="872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2.16.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оличество уникальных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н-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0,192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0,280</w:t>
            </w:r>
            <w:bookmarkStart w:id="1" w:name="_GoBack"/>
            <w:r/>
            <w:bookmarkEnd w:id="1"/>
            <w:r/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+ 0,088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2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+45,83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872"/>
        <w:numPr>
          <w:ilvl w:val="0"/>
          <w:numId w:val="2"/>
        </w:numPr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- данные будут предоставлены после 20.02.2023</w:t>
      </w:r>
      <w:r>
        <w:rPr>
          <w:rFonts w:ascii="Times New Roman" w:hAnsi="Times New Roman" w:cs="Times New Roman"/>
        </w:rPr>
      </w:r>
    </w:p>
    <w:p>
      <w:pPr>
        <w:pStyle w:val="872"/>
        <w:jc w:val="left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2"/>
        <w:jc w:val="right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и результатах реализации государственной программы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6" w:type="dxa"/>
        <w:tblInd w:w="-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172"/>
        <w:gridCol w:w="1214"/>
        <w:gridCol w:w="1214"/>
        <w:gridCol w:w="1214"/>
        <w:gridCol w:w="2309"/>
        <w:gridCol w:w="2030"/>
        <w:gridCol w:w="2793"/>
      </w:tblGrid>
      <w:tr>
        <w:tblPrEx/>
        <w:trPr>
          <w:cantSplit/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программы (подпрограммы), основного мероприятия (мероприятия), источники финансирования, направления расходов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Предусмо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трено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Профинанси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ровано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Выполнено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(в случае наличия кредиторской задолженности указать)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W w:w="4339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Ожидаемые конечные результаты реализации мероприятий программы в количественном измерении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Связь с показателем (индикатором) государственной программы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Выполнено </w:t>
            </w:r>
            <w:hyperlink w:tooltip="#P2571" w:anchor="P2571" w:history="1">
              <w:r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center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Подпрограмма 2 «Развитие малого и среднего предпринимательства в Еврейской автономной области» на 2019 – 2025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3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43057,30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37030,26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37030,26</w:t>
            </w:r>
            <w:r>
              <w:rPr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17137,70</w:t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11373,16</w:t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11373,16</w:t>
            </w: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25919,60</w:t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25657,10</w:t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25657,10</w:t>
            </w:r>
            <w:r>
              <w:rPr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Задача: Развитие малого и среднего предпринимательства, реализация инвестиционного потенциала малого бизнеса области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Основное мероприятие 1. Организация и проведение выездных и информационных мероприятий для субъектов МСП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1.1. Проведение «круглых столов» по вопросам взаимодействия органов государственной власти области, органов местного самоуправления муниципальных образований области,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ресурсопоставляющих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компаний и предпринимательских структур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 Организация и проведение 5 «круглых столов» ежегодно по выявлению проблемных вопросов при взаимодействии органов государственной власти области, органов местного самоуправления муниципальных образований области,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ресурсопоставляющих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компаний и предпринимательских структур и способов их устранения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самозанятых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МСП, принявших участие в мероприятиях регионального проекта «Популяризация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выдаваемых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1.2. Оказание информационной поддержки субъектам МСП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Размещение информационных материалов для субъектов МСП в сети Интернет не менее 4 раз в год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Более 700 публикации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самозанятых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МСП, принявших участие в мероприятиях регионального проекта «Популяризация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выдаваемых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Основное мероприятие 2. Финансовое обеспечение уставной деятельности НКО - Фонд 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Микрокредитная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компания ЕАО»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2.1. Имущественный взнос в НКО - Фонд 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Микрокредитная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компания ЕАО»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 Количество действующих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выданных МФО: 2022 - 43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Доля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структуре совокупного портфеля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вновь зарегистрированным и действующим менее 1 (одного) года субъектам МСП, - не менее 15%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1) 67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2) 4,03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выдаваемых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действующих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выданных МФО.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МСП, получивших поддержку при содействии МФО.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Объем выданных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самозанятым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гражданам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льготной ставке государственными МФО.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действующих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предоставленных начинающим предпринимателям.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7817,70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3. Региональный проект «Акселерация субъектов малого и среднего предпринимательства»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/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17314,70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173,10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173,10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173,10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17141,60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17141,60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17141,60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173,10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173,10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173,10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17141,60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17141,60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17141,60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3.1. Обеспечение субъектам МСП льготного доступа к заемным средствам государственных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микрофинансовых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организаций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действующих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выданных МФО: 2022 - 43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67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действующих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выданных МФО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3.2. Предоставление субъектам МСП поручительств (гарантий) РГО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Объем финансовой поддержки, оказанной субъектам МСП, при гарантийной поддержке РГО (млн. рублей): 2022 - 2,8825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243,311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3.3. Оказание субъектам МСП,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 Количество проведенных консультаций и мероприятий для субъектов малого и среднего предпринимательства - не менее 320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 Количество субъектов МСП, получивших государственную поддержку - не менее 3%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 Количество проведенных обучающих мероприятий для субъектов МСП (семинары, конференции, форумы, круглые столы, мастер-классы и т.д.) - не менее 24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4. Количество проведенных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выставочно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-ярмарочных мероприятий с целью содействия развитию и популяризации деятельности субъектов МСП - не менее 2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5. 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региональных бизнес-миссий - не менее 3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1) 700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2) 9,4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3) 25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4) 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МСП, получивших комплексные услуги.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13656,20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13656,20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13656,20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136,50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136,50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136,50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13519,70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13519,70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13519,70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13656,20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13656,20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13656,20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136,50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136,50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136,50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13519,70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13519,70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13519,70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3.4. Оказание поддержки центром экспорта субъектам МСП в осуществлении экспорта товаров (работ, услуг)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 Количество консультационных услуг с привлечением сторонних профильных экспертов по тематике внешнеэкономической деятельности - не менее 10 ежегодно.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 Количество субъектов МСП, получивших услуги центра поддержки экспортно ориентированных субъектов МСП, - не менее 40 ежегодно.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 Отношение количества субъектов МСП, воспользовавшихся услугами ЦПЭ, к общему количеству субъектов МСП, зарегистрированных в субъекте РФ, - не менее 0,1% ежегодно.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4. Количество субъектов МСП-экспортеров, заключивших экспортные контракты 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результатам услуг ЦПЭ: 2021 - 2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5. Количество субъектов МСП, получивших услуги АО "РЭЦ", - не менее 6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2) 118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3) 3,2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4) 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5) 110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субъектов МСП-экспортеров, заключивших экспортные контракты по результатам услуг ЦПЭ.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8496,80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8496,80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8496,80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8411,80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8411,80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8411,80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8496,80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8496,80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8496,80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8411,80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8411,80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8411,80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4. Региональный проект "Создание благоприятных условий для осуществления деятельности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самозанятыми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гражданами"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4.1. Предоставление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самозанятым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онлайн-форматах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проведенных обучающих мероприятий для субъектов МСП (семинары, конференции, форумы, круглые столы, мастер-классы и т.д.) - не менее 24 в год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самозанятых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граждан, получивших услуги, в том числе прошедших программы обучения.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1457,60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1472,30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14,70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1457,60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5. Региональный проект "Создание условий для легкого старта и комфортного ведения бизнеса"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7394,40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74,00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7320,40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7057,90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7057,90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7394,40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74,00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71,30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7320,40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7057,90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7057,90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5.1. Оказание субъектам МСП, включенным в реестр социальных предпринимателей, комплексных услуг и (или) предоставление финансовой поддержки в виде грантов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 Количество проведенных консультаций и мероприятий для субъектов малого и среднего предпринимательства - не менее 320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 Количество субъектов МСП, получивших государственную поддержку, - не менее 3%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 Количество проведенных обучающих мероприятий для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субъектов МСП (семинары, конференции, форумы, круглые столы, мастер-классы и т.д.) - не менее 24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4. 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региональных бизнес-миссий - не менее 3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1) 700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2) 9,4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3)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индивидуальных предпринимателей, применяющих патентную систему налогообложения.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4765,20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4500,00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4500,00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47,70 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4717,50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4455,0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4455,0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4765,20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4500,00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4500,00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47,70 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45,00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4717,50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4455,0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4455,0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5.2. Предоставление гражданам, желающим вести бизнес, начинающим и действующим предпринимателям комплексных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онлайн-форматах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 Количество проведенных консультаций и мероприятий для субъектов малого и среднего предпринимательства - не менее 320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 Количество субъектов МСП, получивших государственную поддержку, - не менее 3%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 Количество проведенных обучающих мероприятий для субъектов МСП (семинары, конференции, форумы, круглые столы, мастер-классы и т.д.) - не менее 24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4. Количество проведенных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выставочно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-ярмарочных мероприятий с целью содействия развитию и популяризации деятельности субъектов МСП - не менее 2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5. 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региональных бизнес-миссий - не менее 3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1) 700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2) 9,4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3)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4) 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индивидуальных предпринимателей, применяющих патентную систему налогообложения.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Объем финансовой поддержки, предоставленной начинающим предпринимателям (кредиты, лизинг, займы), обеспеченной поручительствами РГО.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действующих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предоставленных начинающим предпринимателям.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оличество уникальных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260,9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260,90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260,90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2629,20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26,30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260,9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260,90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260,90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Предоставление субсидий орган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изациям и индивидуальным предпринимателям, осуществляющим деятельность по ремонту и (или) строительству автомобильных дорог регионального значения на территории Еврейской автономной области, в целях возмещения части затрат на уплату процентов по кредитам,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полученным в кредитных организациях на пополнение оборотных средств</w:t>
            </w:r>
            <w:r>
              <w:rPr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9058,20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9058,20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9058,20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9058,20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3296,36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2"/>
              <w:jc w:val="left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2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</w:tbl>
    <w:p>
      <w:pPr>
        <w:pStyle w:val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jc w:val="both"/>
        <w:rPr>
          <w:rFonts w:ascii="Times New Roman" w:hAnsi="Times New Roman" w:cs="Times New Roman"/>
          <w:sz w:val="16"/>
          <w:szCs w:val="16"/>
        </w:rPr>
      </w:pPr>
      <w:r/>
      <w:bookmarkStart w:id="2" w:name="P2571"/>
      <w:r/>
      <w:bookmarkEnd w:id="2"/>
      <w:r>
        <w:rPr>
          <w:rFonts w:ascii="Times New Roman" w:hAnsi="Times New Roman" w:cs="Times New Roman"/>
          <w:sz w:val="16"/>
          <w:szCs w:val="16"/>
        </w:rPr>
        <w:t xml:space="preserve">&lt;*&gt; В случае невыполнения мероприятий, </w:t>
      </w:r>
      <w:r>
        <w:rPr>
          <w:rFonts w:ascii="Times New Roman" w:hAnsi="Times New Roman" w:cs="Times New Roman"/>
          <w:sz w:val="16"/>
          <w:szCs w:val="16"/>
        </w:rPr>
        <w:t xml:space="preserve">неосвоения</w:t>
      </w:r>
      <w:r>
        <w:rPr>
          <w:rFonts w:ascii="Times New Roman" w:hAnsi="Times New Roman" w:cs="Times New Roman"/>
          <w:sz w:val="16"/>
          <w:szCs w:val="16"/>
        </w:rPr>
        <w:t xml:space="preserve"> средств указать причины.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872"/>
        <w:jc w:val="both"/>
        <w:rPr>
          <w:rFonts w:ascii="Times New Roman" w:hAnsi="Times New Roman" w:cs="Times New Roman"/>
          <w:sz w:val="16"/>
          <w:szCs w:val="16"/>
        </w:rPr>
      </w:pPr>
      <w:r/>
      <w:hyperlink w:tooltip="#P2571" w:anchor="P2571" w:history="1">
        <w:r>
          <w:rPr>
            <w:rFonts w:ascii="Times New Roman" w:hAnsi="Times New Roman" w:cs="Times New Roman"/>
            <w:sz w:val="16"/>
            <w:szCs w:val="16"/>
          </w:rPr>
          <w:t xml:space="preserve">&lt;**&gt;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В случае отсутствия информации, строки нужно удалить. </w:t>
      </w:r>
      <w:r>
        <w:rPr>
          <w:rFonts w:ascii="Times New Roman" w:hAnsi="Times New Roman" w:cs="Times New Roman"/>
          <w:sz w:val="16"/>
          <w:szCs w:val="16"/>
        </w:rPr>
      </w:r>
    </w:p>
    <w:sectPr>
      <w:headerReference w:type="default" r:id="rId9"/>
      <w:footnotePr/>
      <w:endnotePr/>
      <w:type w:val="nextPage"/>
      <w:pgSz w:w="16838" w:h="11905" w:orient="landscape"/>
      <w:pgMar w:top="1701" w:right="1134" w:bottom="850" w:left="1134" w:header="624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</w:p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Heading 1 Char"/>
    <w:basedOn w:val="700"/>
    <w:link w:val="691"/>
    <w:uiPriority w:val="9"/>
    <w:rPr>
      <w:rFonts w:ascii="Arial" w:hAnsi="Arial" w:eastAsia="Arial" w:cs="Arial"/>
      <w:sz w:val="40"/>
      <w:szCs w:val="40"/>
    </w:rPr>
  </w:style>
  <w:style w:type="character" w:styleId="676">
    <w:name w:val="Heading 2 Char"/>
    <w:basedOn w:val="700"/>
    <w:link w:val="692"/>
    <w:uiPriority w:val="9"/>
    <w:rPr>
      <w:rFonts w:ascii="Arial" w:hAnsi="Arial" w:eastAsia="Arial" w:cs="Arial"/>
      <w:sz w:val="34"/>
    </w:rPr>
  </w:style>
  <w:style w:type="character" w:styleId="677">
    <w:name w:val="Heading 3 Char"/>
    <w:basedOn w:val="700"/>
    <w:link w:val="693"/>
    <w:uiPriority w:val="9"/>
    <w:rPr>
      <w:rFonts w:ascii="Arial" w:hAnsi="Arial" w:eastAsia="Arial" w:cs="Arial"/>
      <w:sz w:val="30"/>
      <w:szCs w:val="30"/>
    </w:rPr>
  </w:style>
  <w:style w:type="character" w:styleId="678">
    <w:name w:val="Heading 4 Char"/>
    <w:basedOn w:val="700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679">
    <w:name w:val="Heading 5 Char"/>
    <w:basedOn w:val="700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680">
    <w:name w:val="Heading 6 Char"/>
    <w:basedOn w:val="70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681">
    <w:name w:val="Heading 7 Char"/>
    <w:basedOn w:val="700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8 Char"/>
    <w:basedOn w:val="70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683">
    <w:name w:val="Heading 9 Char"/>
    <w:basedOn w:val="700"/>
    <w:link w:val="699"/>
    <w:uiPriority w:val="9"/>
    <w:rPr>
      <w:rFonts w:ascii="Arial" w:hAnsi="Arial" w:eastAsia="Arial" w:cs="Arial"/>
      <w:i/>
      <w:iCs/>
      <w:sz w:val="21"/>
      <w:szCs w:val="21"/>
    </w:rPr>
  </w:style>
  <w:style w:type="character" w:styleId="684">
    <w:name w:val="Title Char"/>
    <w:basedOn w:val="700"/>
    <w:link w:val="714"/>
    <w:uiPriority w:val="10"/>
    <w:rPr>
      <w:sz w:val="48"/>
      <w:szCs w:val="48"/>
    </w:rPr>
  </w:style>
  <w:style w:type="character" w:styleId="685">
    <w:name w:val="Subtitle Char"/>
    <w:basedOn w:val="700"/>
    <w:link w:val="716"/>
    <w:uiPriority w:val="11"/>
    <w:rPr>
      <w:sz w:val="24"/>
      <w:szCs w:val="24"/>
    </w:rPr>
  </w:style>
  <w:style w:type="character" w:styleId="686">
    <w:name w:val="Quote Char"/>
    <w:link w:val="718"/>
    <w:uiPriority w:val="29"/>
    <w:rPr>
      <w:i/>
    </w:rPr>
  </w:style>
  <w:style w:type="character" w:styleId="687">
    <w:name w:val="Intense Quote Char"/>
    <w:link w:val="720"/>
    <w:uiPriority w:val="30"/>
    <w:rPr>
      <w:i/>
    </w:rPr>
  </w:style>
  <w:style w:type="character" w:styleId="688">
    <w:name w:val="Footnote Text Char"/>
    <w:link w:val="855"/>
    <w:uiPriority w:val="99"/>
    <w:rPr>
      <w:sz w:val="18"/>
    </w:rPr>
  </w:style>
  <w:style w:type="character" w:styleId="689">
    <w:name w:val="Endnote Text Char"/>
    <w:link w:val="858"/>
    <w:uiPriority w:val="99"/>
    <w:rPr>
      <w:sz w:val="20"/>
    </w:rPr>
  </w:style>
  <w:style w:type="paragraph" w:styleId="690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91">
    <w:name w:val="Heading 1"/>
    <w:basedOn w:val="690"/>
    <w:next w:val="690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2">
    <w:name w:val="Heading 2"/>
    <w:basedOn w:val="690"/>
    <w:next w:val="690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3">
    <w:name w:val="Heading 3"/>
    <w:basedOn w:val="690"/>
    <w:next w:val="690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4">
    <w:name w:val="Heading 4"/>
    <w:basedOn w:val="690"/>
    <w:next w:val="690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690"/>
    <w:next w:val="690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690"/>
    <w:next w:val="690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7">
    <w:name w:val="Heading 7"/>
    <w:basedOn w:val="690"/>
    <w:next w:val="690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8">
    <w:name w:val="Heading 8"/>
    <w:basedOn w:val="690"/>
    <w:next w:val="690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9">
    <w:name w:val="Heading 9"/>
    <w:basedOn w:val="690"/>
    <w:next w:val="69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Заголовок 1 Знак"/>
    <w:link w:val="691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Заголовок 2 Знак"/>
    <w:link w:val="692"/>
    <w:uiPriority w:val="9"/>
    <w:rPr>
      <w:rFonts w:ascii="Arial" w:hAnsi="Arial" w:eastAsia="Arial" w:cs="Arial"/>
      <w:sz w:val="34"/>
    </w:rPr>
  </w:style>
  <w:style w:type="character" w:styleId="705" w:customStyle="1">
    <w:name w:val="Заголовок 3 Знак"/>
    <w:link w:val="693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Заголовок 4 Знак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690"/>
    <w:uiPriority w:val="34"/>
    <w:qFormat/>
    <w:pPr>
      <w:contextualSpacing/>
      <w:ind w:left="720"/>
    </w:pPr>
  </w:style>
  <w:style w:type="paragraph" w:styleId="713">
    <w:name w:val="No Spacing"/>
    <w:uiPriority w:val="1"/>
    <w:qFormat/>
  </w:style>
  <w:style w:type="paragraph" w:styleId="714">
    <w:name w:val="Title"/>
    <w:basedOn w:val="690"/>
    <w:next w:val="690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link w:val="714"/>
    <w:uiPriority w:val="10"/>
    <w:rPr>
      <w:sz w:val="48"/>
      <w:szCs w:val="48"/>
    </w:rPr>
  </w:style>
  <w:style w:type="paragraph" w:styleId="716">
    <w:name w:val="Subtitle"/>
    <w:basedOn w:val="690"/>
    <w:next w:val="690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link w:val="716"/>
    <w:uiPriority w:val="11"/>
    <w:rPr>
      <w:sz w:val="24"/>
      <w:szCs w:val="24"/>
    </w:rPr>
  </w:style>
  <w:style w:type="paragraph" w:styleId="718">
    <w:name w:val="Quote"/>
    <w:basedOn w:val="690"/>
    <w:next w:val="690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0"/>
    <w:next w:val="690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90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3" w:customStyle="1">
    <w:name w:val="Header Char"/>
    <w:uiPriority w:val="99"/>
  </w:style>
  <w:style w:type="paragraph" w:styleId="724">
    <w:name w:val="Footer"/>
    <w:basedOn w:val="690"/>
    <w:link w:val="8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5" w:customStyle="1">
    <w:name w:val="Footer Char"/>
    <w:uiPriority w:val="99"/>
  </w:style>
  <w:style w:type="paragraph" w:styleId="726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3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8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90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690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90"/>
    <w:next w:val="690"/>
    <w:uiPriority w:val="39"/>
    <w:unhideWhenUsed/>
    <w:pPr>
      <w:spacing w:after="57"/>
    </w:pPr>
  </w:style>
  <w:style w:type="paragraph" w:styleId="862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63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64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65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66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67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68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69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0"/>
    <w:next w:val="690"/>
    <w:uiPriority w:val="99"/>
    <w:unhideWhenUsed/>
    <w:pPr>
      <w:spacing w:after="0"/>
    </w:pPr>
  </w:style>
  <w:style w:type="paragraph" w:styleId="872" w:customStyle="1">
    <w:name w:val="ConsPlusNormal"/>
    <w:link w:val="884"/>
    <w:pPr>
      <w:widowControl w:val="off"/>
    </w:pPr>
    <w:rPr>
      <w:rFonts w:eastAsia="Times New Roman" w:cs="Calibri"/>
      <w:sz w:val="22"/>
      <w:lang w:eastAsia="ru-RU"/>
    </w:rPr>
  </w:style>
  <w:style w:type="paragraph" w:styleId="873" w:customStyle="1">
    <w:name w:val="ConsPlusNonformat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74" w:customStyle="1">
    <w:name w:val="ConsPlusTitle"/>
    <w:pPr>
      <w:widowControl w:val="off"/>
    </w:pPr>
    <w:rPr>
      <w:rFonts w:eastAsia="Times New Roman" w:cs="Calibri"/>
      <w:b/>
      <w:sz w:val="22"/>
      <w:lang w:eastAsia="ru-RU"/>
    </w:rPr>
  </w:style>
  <w:style w:type="paragraph" w:styleId="875" w:customStyle="1">
    <w:name w:val="ConsPlusCell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76" w:customStyle="1">
    <w:name w:val="ConsPlusDocList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77" w:customStyle="1">
    <w:name w:val="ConsPlusTitlePage"/>
    <w:pPr>
      <w:widowControl w:val="off"/>
    </w:pPr>
    <w:rPr>
      <w:rFonts w:ascii="Tahoma" w:hAnsi="Tahoma" w:eastAsia="Times New Roman" w:cs="Tahoma"/>
      <w:lang w:eastAsia="ru-RU"/>
    </w:rPr>
  </w:style>
  <w:style w:type="paragraph" w:styleId="878" w:customStyle="1">
    <w:name w:val="ConsPlusJurTerm"/>
    <w:pPr>
      <w:widowControl w:val="off"/>
    </w:pPr>
    <w:rPr>
      <w:rFonts w:ascii="Tahoma" w:hAnsi="Tahoma" w:eastAsia="Times New Roman" w:cs="Tahoma"/>
      <w:lang w:eastAsia="ru-RU"/>
    </w:rPr>
  </w:style>
  <w:style w:type="paragraph" w:styleId="879" w:customStyle="1">
    <w:name w:val="ConsPlusTextList"/>
    <w:pPr>
      <w:widowControl w:val="off"/>
    </w:pPr>
    <w:rPr>
      <w:rFonts w:ascii="Arial" w:hAnsi="Arial" w:eastAsia="Times New Roman" w:cs="Arial"/>
      <w:lang w:eastAsia="ru-RU"/>
    </w:rPr>
  </w:style>
  <w:style w:type="character" w:styleId="880" w:customStyle="1">
    <w:name w:val="Верхний колонтитул Знак"/>
    <w:basedOn w:val="700"/>
    <w:link w:val="722"/>
    <w:uiPriority w:val="99"/>
  </w:style>
  <w:style w:type="character" w:styleId="881" w:customStyle="1">
    <w:name w:val="Нижний колонтитул Знак"/>
    <w:basedOn w:val="700"/>
    <w:link w:val="724"/>
    <w:uiPriority w:val="99"/>
  </w:style>
  <w:style w:type="paragraph" w:styleId="882">
    <w:name w:val="Balloon Text"/>
    <w:basedOn w:val="690"/>
    <w:link w:val="88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link w:val="882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84" w:customStyle="1">
    <w:name w:val="ConsPlusNormal Знак"/>
    <w:link w:val="872"/>
    <w:rPr>
      <w:rFonts w:eastAsia="Times New Roman" w:cs="Calibri"/>
      <w:sz w:val="22"/>
    </w:rPr>
  </w:style>
  <w:style w:type="character" w:styleId="885">
    <w:name w:val="annotation reference"/>
    <w:uiPriority w:val="99"/>
    <w:semiHidden/>
    <w:unhideWhenUsed/>
    <w:rPr>
      <w:sz w:val="16"/>
      <w:szCs w:val="16"/>
    </w:rPr>
  </w:style>
  <w:style w:type="paragraph" w:styleId="886">
    <w:name w:val="annotation text"/>
    <w:basedOn w:val="690"/>
    <w:link w:val="887"/>
    <w:uiPriority w:val="99"/>
    <w:semiHidden/>
    <w:unhideWhenUsed/>
    <w:rPr>
      <w:sz w:val="20"/>
      <w:szCs w:val="20"/>
    </w:rPr>
  </w:style>
  <w:style w:type="character" w:styleId="887" w:customStyle="1">
    <w:name w:val="Текст примечания Знак"/>
    <w:link w:val="886"/>
    <w:uiPriority w:val="99"/>
    <w:semiHidden/>
    <w:rPr>
      <w:lang w:eastAsia="en-US"/>
    </w:rPr>
  </w:style>
  <w:style w:type="paragraph" w:styleId="888">
    <w:name w:val="annotation subject"/>
    <w:basedOn w:val="886"/>
    <w:next w:val="886"/>
    <w:link w:val="889"/>
    <w:uiPriority w:val="99"/>
    <w:semiHidden/>
    <w:unhideWhenUsed/>
    <w:rPr>
      <w:b/>
      <w:bCs/>
    </w:rPr>
  </w:style>
  <w:style w:type="character" w:styleId="889" w:customStyle="1">
    <w:name w:val="Тема примечания Знак"/>
    <w:link w:val="888"/>
    <w:uiPriority w:val="99"/>
    <w:semiHidden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Правительство ЕАО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Варваренко Альбина Петровна</dc:creator>
  <cp:revision>17</cp:revision>
  <dcterms:created xsi:type="dcterms:W3CDTF">2022-01-27T03:58:00Z</dcterms:created>
  <dcterms:modified xsi:type="dcterms:W3CDTF">2024-02-06T04:21:52Z</dcterms:modified>
  <cp:version>917504</cp:version>
</cp:coreProperties>
</file>