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EEF0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УТВЕРЖДЕНО</w:t>
      </w:r>
    </w:p>
    <w:p w14:paraId="022F5D0F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Приказом генерального директора</w:t>
      </w:r>
    </w:p>
    <w:p w14:paraId="6E11C344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НКО Фонд «Инвестиционное </w:t>
      </w:r>
    </w:p>
    <w:p w14:paraId="3A7CF819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агентство ЕАО»</w:t>
      </w:r>
    </w:p>
    <w:p w14:paraId="6746B351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95321099"/>
      <w:r w:rsidRPr="00E45814">
        <w:rPr>
          <w:rFonts w:ascii="Times New Roman" w:hAnsi="Times New Roman" w:cs="Times New Roman"/>
          <w:color w:val="000000"/>
          <w:sz w:val="26"/>
          <w:szCs w:val="26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» марта 2024 г. № </w:t>
      </w:r>
      <w:r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1E5A1B45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1D4EEAD" w14:textId="77777777" w:rsidR="00565DC2" w:rsidRPr="00E45814" w:rsidRDefault="00565DC2" w:rsidP="00565DC2">
      <w:pPr>
        <w:ind w:left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516B2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Hlk129948205"/>
      <w:bookmarkEnd w:id="0"/>
      <w:r w:rsidRPr="00E45814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14:paraId="69D49F2D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об областном конкурсе на звание </w:t>
      </w:r>
    </w:p>
    <w:p w14:paraId="1CEB8380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«Лучший предприниматель года»</w:t>
      </w:r>
    </w:p>
    <w:p w14:paraId="12208C8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5BC1EBE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1. Общие положения </w:t>
      </w:r>
    </w:p>
    <w:p w14:paraId="1CF410A1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A2EAD6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bookmarkStart w:id="2" w:name="_Hlk66979978"/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Областной конкурс на звание «Лучший предприниматель года» (далее – Конкурс) проводится ежегодно </w:t>
      </w:r>
      <w:bookmarkEnd w:id="2"/>
      <w:r w:rsidRPr="00E45814">
        <w:rPr>
          <w:rFonts w:ascii="Times New Roman" w:hAnsi="Times New Roman" w:cs="Times New Roman"/>
          <w:color w:val="000000"/>
          <w:sz w:val="26"/>
          <w:szCs w:val="26"/>
        </w:rPr>
        <w:t>с целью содействия развитию предпринимательства в Еврейской автономной области, привлечения населения области к занятию предпринимательской деятельностью, пропаганды передового опыта предпринимательства, решения вопросов занятости населения области.</w:t>
      </w:r>
    </w:p>
    <w:p w14:paraId="4BBF3C1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1.2. Конкурс проводится НКО Фонд «Инвестиционное агентство ЕАО» (далее – Фонд) при поддержке правительства Еврейской автономной области. Фонд может передавать организационно-технические функции по проведению конкурса исполнителю по соответствующему договору (далее – Исполнитель). </w:t>
      </w:r>
    </w:p>
    <w:p w14:paraId="0271C30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1.3. Задачи конкурса:</w:t>
      </w:r>
    </w:p>
    <w:p w14:paraId="6153E0F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определение субъектов малого и среднего предпринимательства (далее – СМСП), добившихся наивысших результатов в своей отрасли в течение года, внесших значительный вклад в экономику области;</w:t>
      </w:r>
    </w:p>
    <w:p w14:paraId="69EA8CD8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систематизация и популяризация опыта работы лучших субъектов малого и среднего предпринимательства с целью дальнейшего развития малого и среднего бизнеса.</w:t>
      </w:r>
    </w:p>
    <w:p w14:paraId="662A29E3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A95C71F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2. Участники конкурса </w:t>
      </w:r>
    </w:p>
    <w:p w14:paraId="5F04F26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D4939D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2.1. Участниками конкурса являются с</w:t>
      </w:r>
      <w:r w:rsidRPr="00E45814">
        <w:rPr>
          <w:rFonts w:ascii="Times New Roman" w:hAnsi="Times New Roman" w:cs="Times New Roman"/>
          <w:bCs/>
          <w:color w:val="000000"/>
          <w:sz w:val="26"/>
          <w:szCs w:val="26"/>
        </w:rPr>
        <w:t>убъекты малого и среднего предпринимательства,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5814">
        <w:rPr>
          <w:rFonts w:ascii="Times New Roman" w:hAnsi="Times New Roman" w:cs="Times New Roman"/>
          <w:sz w:val="26"/>
          <w:szCs w:val="26"/>
        </w:rPr>
        <w:t>зарегистрированные на территории</w:t>
      </w:r>
      <w:r w:rsidRPr="00E4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5814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в установленном законом порядке и соответствующие Федеральному закону от 24 июля 2007 года № 209-ФЗ «О развитии малого и среднего предпринимательства в Российской Федерации», 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осуществляющие предпринимательскую деятельность не менее двух лет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состоянию на 31.12.2023 г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52FD65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2.2. Участники конкурса подают в установленные сроки необходимые документы на почтовый адрес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Фонда 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или по адресу электронной почты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Фонда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, указанные в объявлении о приеме заявок.</w:t>
      </w:r>
    </w:p>
    <w:p w14:paraId="173E7517" w14:textId="77777777" w:rsidR="00565DC2" w:rsidRPr="00E45814" w:rsidRDefault="00565DC2" w:rsidP="00565DC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1EB0A5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3. Сроки проведения конкурса </w:t>
      </w:r>
    </w:p>
    <w:p w14:paraId="7E6B9A1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103FAC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3.1. Конкурс проводится ежегодно по итогам прошедшего отчетного года,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период 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- 2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, следующ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за отчетным годом.</w:t>
      </w:r>
    </w:p>
    <w:p w14:paraId="10B8F053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3.2. Подача заявок от участников конкурса производится </w:t>
      </w:r>
      <w:r w:rsidRPr="00E45814">
        <w:rPr>
          <w:rFonts w:ascii="Times New Roman" w:hAnsi="Times New Roman" w:cs="Times New Roman"/>
          <w:bCs/>
          <w:sz w:val="26"/>
          <w:szCs w:val="26"/>
        </w:rPr>
        <w:t xml:space="preserve">с </w:t>
      </w: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E45814">
        <w:rPr>
          <w:rFonts w:ascii="Times New Roman" w:hAnsi="Times New Roman" w:cs="Times New Roman"/>
          <w:bCs/>
          <w:sz w:val="26"/>
          <w:szCs w:val="26"/>
        </w:rPr>
        <w:t>.03.2024 по 26.04.2024 года.</w:t>
      </w:r>
    </w:p>
    <w:p w14:paraId="21E86AEF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bookmarkStart w:id="3" w:name="_Hlk66979236"/>
      <w:r w:rsidRPr="00E45814">
        <w:rPr>
          <w:rFonts w:ascii="Times New Roman" w:hAnsi="Times New Roman" w:cs="Times New Roman"/>
          <w:color w:val="000000"/>
          <w:sz w:val="26"/>
          <w:szCs w:val="26"/>
        </w:rPr>
        <w:t>Итоги конкурса подводятся в течение 20 рабочих дней после окончания срока приема заявок.</w:t>
      </w:r>
    </w:p>
    <w:p w14:paraId="6C5B1C70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3.4. Награждение победителей проводится 24 мая 2024 года. </w:t>
      </w:r>
    </w:p>
    <w:bookmarkEnd w:id="3"/>
    <w:p w14:paraId="7E5EF36D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AD9310" w14:textId="77777777" w:rsidR="00565DC2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4. Порядок подачи заявок на участие в конкурсе </w:t>
      </w:r>
    </w:p>
    <w:p w14:paraId="6CEF8708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C1C1CEA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4.1. Для участия в конкурсе субъектами малого и среднего предпринимательства представляются следующие документы:</w:t>
      </w:r>
    </w:p>
    <w:p w14:paraId="1D8E2323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а) заявка на участие в областном конкурсе на звание «Лучший предприниматель года» в соответствии с приложением № 1 к настоящему Положению; </w:t>
      </w:r>
    </w:p>
    <w:p w14:paraId="70E6BF4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согласие </w:t>
      </w:r>
      <w:r w:rsidRPr="00A80FA4">
        <w:rPr>
          <w:rFonts w:ascii="Times New Roman" w:hAnsi="Times New Roman" w:cs="Times New Roman"/>
          <w:color w:val="000000"/>
          <w:sz w:val="26"/>
          <w:szCs w:val="26"/>
        </w:rPr>
        <w:t>субъекта персональных данных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0FA4">
        <w:rPr>
          <w:rFonts w:ascii="Times New Roman" w:hAnsi="Times New Roman" w:cs="Times New Roman"/>
          <w:color w:val="000000"/>
          <w:sz w:val="26"/>
          <w:szCs w:val="26"/>
        </w:rPr>
        <w:t>на обработку персональных данных</w:t>
      </w:r>
      <w:r>
        <w:rPr>
          <w:rFonts w:ascii="Times New Roman" w:hAnsi="Times New Roman" w:cs="Times New Roman"/>
          <w:color w:val="000000"/>
          <w:sz w:val="26"/>
          <w:szCs w:val="26"/>
        </w:rPr>
        <w:t>, с</w:t>
      </w:r>
      <w:r w:rsidRPr="00A80FA4">
        <w:rPr>
          <w:rFonts w:ascii="Times New Roman" w:hAnsi="Times New Roman" w:cs="Times New Roman"/>
          <w:color w:val="000000"/>
          <w:sz w:val="26"/>
          <w:szCs w:val="26"/>
        </w:rPr>
        <w:t>огласие на обработку персональных данных, разрешенных субъектом персональных данных для распространения участника областного конкурса на звание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0FA4">
        <w:rPr>
          <w:rFonts w:ascii="Times New Roman" w:hAnsi="Times New Roman" w:cs="Times New Roman"/>
          <w:color w:val="000000"/>
          <w:sz w:val="26"/>
          <w:szCs w:val="26"/>
        </w:rPr>
        <w:t>«Лучший предприниматель года»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от руководителя организации (индивидуального предпринимателя) согласно приложени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ям 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№ 2</w:t>
      </w:r>
      <w:r>
        <w:rPr>
          <w:rFonts w:ascii="Times New Roman" w:hAnsi="Times New Roman" w:cs="Times New Roman"/>
          <w:color w:val="000000"/>
          <w:sz w:val="26"/>
          <w:szCs w:val="26"/>
        </w:rPr>
        <w:t>,3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Положению;</w:t>
      </w:r>
    </w:p>
    <w:p w14:paraId="5F458852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в) заполненная таблица показателей эффективности деятельности субъекта малого и среднего предпринимательства по форме согласно приложению № 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Положению, заверенная подписью и печатью организации или подписью и печатью индивидуального предпринимателя (печатью при её наличии);</w:t>
      </w:r>
    </w:p>
    <w:p w14:paraId="098B972C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г) краткое описание развития деятельности организации (индивидуального предпринимателя) в произвольной форме.</w:t>
      </w:r>
    </w:p>
    <w:p w14:paraId="4B331D3E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4.2. Организатор отказывает в допуске к участию в конкурсе по следующим основаниям:</w:t>
      </w:r>
    </w:p>
    <w:p w14:paraId="02F5BE73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участник не отвечает условиям, указанным в пункте 2.1 настоящего Положения;</w:t>
      </w:r>
    </w:p>
    <w:p w14:paraId="2897FCF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не представлены документы, указанные в подпунктах «а» - «г» пункта 4.1 настоящего Положения;</w:t>
      </w:r>
    </w:p>
    <w:p w14:paraId="69D0A2F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в представленных участником конкурса документах указаны неполные или недостоверные сведения;</w:t>
      </w:r>
    </w:p>
    <w:p w14:paraId="0408CBA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участник конкурса находится в стадии реорганизации, ликвидации или проведения процедур банкротства;</w:t>
      </w:r>
    </w:p>
    <w:p w14:paraId="60798B0D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заявка на участие в конкурсе и (или) документы, указанные в подпунктах «а» - «г» пункта 4.1 настоящего Положения, поступили после истечения срока, указанного в пункте 3.2 раздела 3 настоящего Положения;</w:t>
      </w:r>
    </w:p>
    <w:p w14:paraId="31D85335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E45814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по состоянию на любую дату в течение периода, равного 30 календарным дням, предшествующего дате направления заявки на участие в конкурсе,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50 000 (пятьдесят тысяч) рублей;</w:t>
      </w:r>
    </w:p>
    <w:p w14:paraId="52FCD7C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наличие информации об участнике конкурса в реестре недобросовестных поставщиков (подрядчиков, исполнителей), ведение которого осуществляется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в реестре недобросовестных поставщиков, ведение которого осуществляется в соответствии с Федеральным законом от 18 июля 2011 г. №223-ФЗ 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«О закупках товаров, работ, услуг отдельными видами юридических лиц», на дату окончания подачи заявок на участие в Конкурсе;</w:t>
      </w:r>
    </w:p>
    <w:p w14:paraId="48EF61C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наличие информации об участнике конкурса в реестре недобросовестных подрядных организаций, ведение которого осуществляется в соответствии с Положением о привлечении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01 июля 2016 г. №615, на дату окончания подачи заявок на участие в Конкурсе (для номинации «жилищно-коммунальное хозяйство»). </w:t>
      </w:r>
    </w:p>
    <w:p w14:paraId="22872A1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4.3. Поданная заявка на участие в конкурсе проходит проверку в течение двадцати рабочих дней со дня истечения срока окончания приема заявок, указанного в пункте 3.2 раздела 3 настоящего Положения. Заявка участника конкурса отклоняется по основаниям, указанным в пункте 4.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раздела.</w:t>
      </w:r>
    </w:p>
    <w:p w14:paraId="3666BEE6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B651C7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5. Конкурсная комиссия </w:t>
      </w:r>
    </w:p>
    <w:p w14:paraId="536BF910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03EB65F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5.1. С целью проведения конкурса Фондом создается конкурсная комиссия (далее – конкурсная комиссия).</w:t>
      </w:r>
    </w:p>
    <w:p w14:paraId="30E7595E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5.2. На конкурсную комиссию возлагаются следующие функции:</w:t>
      </w:r>
    </w:p>
    <w:p w14:paraId="365C328E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рассмотрение документов участников Конкурса;</w:t>
      </w:r>
    </w:p>
    <w:p w14:paraId="0A0C4F66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подведение итогов.</w:t>
      </w:r>
    </w:p>
    <w:p w14:paraId="154EBF6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5.3. Работой комиссии руководит председатель конкурсной комиссии, а в его отсутствие – заместитель председателя конкурсной комиссии.</w:t>
      </w:r>
    </w:p>
    <w:p w14:paraId="09122AAA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5.4. Заседание комиссии считается правомочным, если на нем присутствует не менее половины членов конкурсной комиссии.</w:t>
      </w:r>
    </w:p>
    <w:p w14:paraId="18FB777A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5.5. Решение конкурсной комиссии принимается большинством голосов членов конкурсной комиссии, присутствующих на заседании, и оформляется протоколом.</w:t>
      </w:r>
    </w:p>
    <w:p w14:paraId="0223543F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5.6. Документация, представленная на участие в конкурсе, не возвращается участникам конкурса.</w:t>
      </w:r>
    </w:p>
    <w:p w14:paraId="2063AEF5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B3BBE15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6. Критерии и порядок конкурсного отбора.</w:t>
      </w:r>
    </w:p>
    <w:p w14:paraId="2DF7E447" w14:textId="77777777" w:rsidR="00565DC2" w:rsidRPr="00E45814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Награждение победителей.</w:t>
      </w:r>
    </w:p>
    <w:p w14:paraId="19FD378F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493288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6.1. Критерии конкурсного отбора:</w:t>
      </w:r>
    </w:p>
    <w:p w14:paraId="6D244D1E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выручки от реализации товаров, продукции, работ, услуг;</w:t>
      </w:r>
    </w:p>
    <w:p w14:paraId="24AF5D34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суммы налогов, сборов, страховых взносов, уплаченных в бюджетную систему Российской Федерации (без учета налога на добавленную стоимость и акцизов);</w:t>
      </w:r>
    </w:p>
    <w:p w14:paraId="76975D8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чистой прибыли;</w:t>
      </w:r>
    </w:p>
    <w:p w14:paraId="27EC8C8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среднесписочной численности работников;</w:t>
      </w:r>
    </w:p>
    <w:p w14:paraId="38D86B77" w14:textId="77777777" w:rsidR="00565DC2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инвестиций.</w:t>
      </w:r>
    </w:p>
    <w:p w14:paraId="619F8C32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0D23D72" w14:textId="77777777" w:rsidR="00565DC2" w:rsidRPr="00E45814" w:rsidRDefault="00565DC2" w:rsidP="00565DC2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6.1.1. Коэффициент для каждого критерия конкурсного отбора: </w:t>
      </w:r>
    </w:p>
    <w:p w14:paraId="5C8C0BBD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прирост выручки от реализации товаров, продукции, работ, услуг - 1;</w:t>
      </w:r>
    </w:p>
    <w:p w14:paraId="03AB3CE3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суммы налогов, сборов, страховых взносов, уплаченных в бюджетную систему Российской Федерации (без учета налога на добавленную стоимость и акцизов) - 3;</w:t>
      </w:r>
    </w:p>
    <w:p w14:paraId="5B4B812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чистой прибыли -1;</w:t>
      </w:r>
    </w:p>
    <w:p w14:paraId="7AA72B01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среднесписочной численности работников - 3;</w:t>
      </w:r>
    </w:p>
    <w:p w14:paraId="7A29C424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прирост инвестиций -2.</w:t>
      </w:r>
    </w:p>
    <w:p w14:paraId="2F567FCE" w14:textId="77777777" w:rsidR="00565DC2" w:rsidRPr="00E45814" w:rsidRDefault="00565DC2" w:rsidP="00565DC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6.2. Оценка значения критериев производится конкурсной комиссией путем определения баллов по каждому из критериев в соответствии с таблицей.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5280"/>
        <w:gridCol w:w="2475"/>
        <w:gridCol w:w="1314"/>
      </w:tblGrid>
      <w:tr w:rsidR="00565DC2" w:rsidRPr="00E45814" w14:paraId="7B118EAA" w14:textId="77777777" w:rsidTr="003C6F8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1DCE0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14:paraId="3F334B73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E25EF5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критерия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1B139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критерия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8B7D8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Оценка значения, балл </w:t>
            </w:r>
          </w:p>
        </w:tc>
      </w:tr>
      <w:tr w:rsidR="00565DC2" w:rsidRPr="00E45814" w14:paraId="615BE5FC" w14:textId="77777777" w:rsidTr="003C6F8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B0E9C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C6471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620F0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A6183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</w:tr>
      <w:tr w:rsidR="00565DC2" w:rsidRPr="00E45814" w14:paraId="1CFA3954" w14:textId="77777777" w:rsidTr="003C6F8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92D714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51EEA3" w14:textId="77777777" w:rsidR="00565DC2" w:rsidRPr="00435100" w:rsidRDefault="00565DC2" w:rsidP="003C6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Прирост выручки от реализации товаров, продукции, работ, услуг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CAAEC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процентов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5F30E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65DC2" w:rsidRPr="00E45814" w14:paraId="3C718A2A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760BCE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AFB1D5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6039C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прироста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05393C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565DC2" w:rsidRPr="00E45814" w14:paraId="5A5E3BFE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3F27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A977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6FC17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снижения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1F198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-2 </w:t>
            </w:r>
          </w:p>
        </w:tc>
      </w:tr>
      <w:tr w:rsidR="00565DC2" w:rsidRPr="00E45814" w14:paraId="6E7F10DB" w14:textId="77777777" w:rsidTr="003C6F8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C306F24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249930" w14:textId="77777777" w:rsidR="00565DC2" w:rsidRPr="00435100" w:rsidRDefault="00565DC2" w:rsidP="003C6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Прирост суммы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158980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процентов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48BCC7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65DC2" w:rsidRPr="00E45814" w14:paraId="040EE39C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BB69759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6D8F97D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8072E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прироста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68303A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565DC2" w:rsidRPr="00E45814" w14:paraId="5EA012CF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9689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EED1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3BB17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снижения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BD422A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-2 </w:t>
            </w:r>
          </w:p>
        </w:tc>
      </w:tr>
      <w:tr w:rsidR="00565DC2" w:rsidRPr="00E45814" w14:paraId="28EA3E92" w14:textId="77777777" w:rsidTr="003C6F8D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FE68F7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0D966F" w14:textId="77777777" w:rsidR="00565DC2" w:rsidRPr="00435100" w:rsidRDefault="00565DC2" w:rsidP="003C6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Прирост чистой прибыли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0FDD5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процентов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6C897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65DC2" w:rsidRPr="00E45814" w14:paraId="2B2E04FE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D6F283A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6713F5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758481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прироста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693549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565DC2" w:rsidRPr="00E45814" w14:paraId="31E7D221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824517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13B66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70B32A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снижения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61671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-2 </w:t>
            </w:r>
          </w:p>
        </w:tc>
      </w:tr>
      <w:tr w:rsidR="00565DC2" w:rsidRPr="00E45814" w14:paraId="4C82916B" w14:textId="77777777" w:rsidTr="003C6F8D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172E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F55D" w14:textId="77777777" w:rsidR="00565DC2" w:rsidRPr="00435100" w:rsidRDefault="00565DC2" w:rsidP="003C6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Прирост среднесписочной численности работников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A65B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процентов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9DEC64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65DC2" w:rsidRPr="00E45814" w14:paraId="05D03DC1" w14:textId="77777777" w:rsidTr="003C6F8D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8E96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CBA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8C6A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прироста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54871D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565DC2" w:rsidRPr="00E45814" w14:paraId="2D797549" w14:textId="77777777" w:rsidTr="003C6F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CE7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75A4AEB3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EFF7D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каждый 1 процент снижения показателя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C3EFF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</w:t>
            </w:r>
          </w:p>
        </w:tc>
      </w:tr>
      <w:tr w:rsidR="00565DC2" w:rsidRPr="00E45814" w14:paraId="39641466" w14:textId="77777777" w:rsidTr="003C6F8D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7953149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5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90871A" w14:textId="77777777" w:rsidR="00565DC2" w:rsidRPr="00435100" w:rsidRDefault="00565DC2" w:rsidP="003C6F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Прирост инвестиций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BB228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процентов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0E8DD6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</w:tr>
      <w:tr w:rsidR="00565DC2" w:rsidRPr="00E45814" w14:paraId="25ECCB28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6F55BC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38EE7A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21AEB7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прироста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3867A5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565DC2" w:rsidRPr="00E45814" w14:paraId="1218CFE0" w14:textId="77777777" w:rsidTr="003C6F8D">
        <w:tc>
          <w:tcPr>
            <w:tcW w:w="5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3A8971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B7583E" w14:textId="77777777" w:rsidR="00565DC2" w:rsidRPr="00435100" w:rsidRDefault="00565DC2" w:rsidP="003C6F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11219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каждый 1 процент снижения показателя 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01F2C" w14:textId="77777777" w:rsidR="00565DC2" w:rsidRPr="00435100" w:rsidRDefault="00565DC2" w:rsidP="003C6F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</w:t>
            </w:r>
          </w:p>
        </w:tc>
      </w:tr>
    </w:tbl>
    <w:p w14:paraId="5CEB85A3" w14:textId="77777777" w:rsidR="00565DC2" w:rsidRPr="00E45814" w:rsidRDefault="00565DC2" w:rsidP="00565DC2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6.3. Полученные по каждому критерию баллы умножаются на соответствующий коэффициент и суммируются. </w:t>
      </w:r>
    </w:p>
    <w:p w14:paraId="5272A012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6.4. В случае, если 2 и более участников конкурса набрали в итоге одинаковое количество баллов, н</w:t>
      </w:r>
      <w:r w:rsidRPr="00E45814">
        <w:rPr>
          <w:rFonts w:ascii="Times New Roman" w:hAnsi="Times New Roman" w:cs="Times New Roman"/>
          <w:sz w:val="26"/>
          <w:szCs w:val="26"/>
        </w:rPr>
        <w:t xml:space="preserve">омер 1 получает заявка, поданная и зарегистрированная раньше. </w:t>
      </w:r>
    </w:p>
    <w:p w14:paraId="1273B4EC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>6.5. Участники конкурса, набравшие наибольшее количество баллов в конкретной номинации, являются победителями конкурса. Им присваивается звание «Лучший предприниматель года» в конкретной номинации.</w:t>
      </w:r>
    </w:p>
    <w:p w14:paraId="7BF0882A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Победители могут определяться в следующих номинациях:</w:t>
      </w:r>
    </w:p>
    <w:p w14:paraId="55A4A992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сельское хозяйство, лесоводство и лесозаготовка;</w:t>
      </w:r>
    </w:p>
    <w:p w14:paraId="290A18B0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промышленность (за исключением пищевой);</w:t>
      </w:r>
    </w:p>
    <w:p w14:paraId="0361D8D4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жилищно-коммунальное хозяйство;</w:t>
      </w:r>
    </w:p>
    <w:p w14:paraId="5BC7FC0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пассажирский автотранспорт;</w:t>
      </w:r>
    </w:p>
    <w:p w14:paraId="221C8F88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общественное питание; </w:t>
      </w:r>
    </w:p>
    <w:p w14:paraId="3CBB18F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производство пищевых продуктов; </w:t>
      </w:r>
    </w:p>
    <w:p w14:paraId="70B99D4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здравоохранение; </w:t>
      </w:r>
    </w:p>
    <w:p w14:paraId="1BD3E665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- сфера услуг; </w:t>
      </w:r>
    </w:p>
    <w:p w14:paraId="2B3A6152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торговля;</w:t>
      </w:r>
    </w:p>
    <w:p w14:paraId="79B45C34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- молодой предприниматель.</w:t>
      </w:r>
    </w:p>
    <w:p w14:paraId="174239CB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В номинации «Молодой предприниматель» победитель определяется среди участников конкурса, возраст которых не превышает 30 лет.</w:t>
      </w:r>
    </w:p>
    <w:p w14:paraId="62AFE0CF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Участник конкурса может выбрать только одну из номинаций.</w:t>
      </w:r>
    </w:p>
    <w:p w14:paraId="10504AA8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конкурса предшествующего года в </w:t>
      </w:r>
      <w:r>
        <w:rPr>
          <w:rFonts w:ascii="Times New Roman" w:hAnsi="Times New Roman" w:cs="Times New Roman"/>
          <w:color w:val="000000"/>
          <w:sz w:val="26"/>
          <w:szCs w:val="26"/>
        </w:rPr>
        <w:t>любой из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номинаци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допускаются к участию в конкурсе в текущем году.</w:t>
      </w:r>
    </w:p>
    <w:p w14:paraId="734CC042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Определение победителей конкурса осуществляется на основании решения конкурсной комиссии.</w:t>
      </w:r>
    </w:p>
    <w:p w14:paraId="62788AC7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6.6. В случае наличия менее двух заявок на участие в конкурсе в какой-либо из номинаций конкурс по этой номинации считается несостоявшимся.</w:t>
      </w:r>
    </w:p>
    <w:p w14:paraId="4570D639" w14:textId="77777777" w:rsidR="00565DC2" w:rsidRPr="00E45814" w:rsidRDefault="00565DC2" w:rsidP="00565DC2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6.7. </w:t>
      </w:r>
      <w:bookmarkStart w:id="4" w:name="_Hlk66980603"/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Победители конкурса в каждой номинации награждаются дипломами и памятными подарками. </w:t>
      </w:r>
      <w:r w:rsidRPr="00E45814">
        <w:rPr>
          <w:rFonts w:ascii="Times New Roman" w:hAnsi="Times New Roman" w:cs="Times New Roman"/>
          <w:sz w:val="26"/>
          <w:szCs w:val="26"/>
        </w:rPr>
        <w:t>Победителям и лауреатам конкурса предоставляется право использования эмблемы конкурса как показателя, подтверждающего высокое качество продукции и услуг</w:t>
      </w:r>
      <w:r w:rsidRPr="00E4581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4"/>
    <w:p w14:paraId="14D7320F" w14:textId="77777777" w:rsidR="00565DC2" w:rsidRDefault="00565DC2" w:rsidP="00565DC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EA82BC3" w14:textId="77777777" w:rsidR="00565DC2" w:rsidRPr="00E45814" w:rsidRDefault="00565DC2" w:rsidP="00565DC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34A3A82A" w14:textId="77777777" w:rsidR="00565DC2" w:rsidRPr="00435100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5772250" w14:textId="77777777" w:rsidR="00565DC2" w:rsidRPr="00435100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66BFC60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7BDDA40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96A87E5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6EC09F9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8476E9F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76BA972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8505287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C7AF642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4462D6C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349745B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401A505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E24821E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9A06F73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AE04B3F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9B379C4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Приложение № 1</w:t>
      </w:r>
    </w:p>
    <w:p w14:paraId="555331CA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 Положению об областном </w:t>
      </w:r>
    </w:p>
    <w:p w14:paraId="73A9E733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конкурсе на звание</w:t>
      </w:r>
    </w:p>
    <w:p w14:paraId="5817810B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«Лучший предприниматель года» </w:t>
      </w:r>
    </w:p>
    <w:p w14:paraId="18BE6408" w14:textId="77777777" w:rsidR="00565DC2" w:rsidRPr="00E45814" w:rsidRDefault="00565DC2" w:rsidP="00565DC2">
      <w:pPr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B1042FF" w14:textId="77777777" w:rsidR="00565DC2" w:rsidRPr="00E45814" w:rsidRDefault="00565DC2" w:rsidP="00565DC2">
      <w:pPr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9E72467" w14:textId="77777777" w:rsidR="00565DC2" w:rsidRPr="00E45814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ЗАЯВКА</w:t>
      </w:r>
    </w:p>
    <w:p w14:paraId="536C4F3F" w14:textId="77777777" w:rsidR="00565DC2" w:rsidRPr="00E45814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на участие в областном конкурсе на звание «Лучший предприниматель года»</w:t>
      </w:r>
    </w:p>
    <w:p w14:paraId="7D28F6D4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922624" w14:textId="77777777" w:rsidR="00565DC2" w:rsidRPr="00E45814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CCE0820" w14:textId="77777777" w:rsidR="00565DC2" w:rsidRPr="00E45814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5814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субъекта малого и среднего предпринимательства)</w:t>
      </w:r>
    </w:p>
    <w:p w14:paraId="771A6D51" w14:textId="77777777" w:rsidR="00565DC2" w:rsidRPr="00E45814" w:rsidRDefault="00565DC2" w:rsidP="00565DC2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 xml:space="preserve">Заявляю о своем намерении принять участие в ежегодном областном конкурсе на звание «Лучший предприниматель года» в номинации: ____________________ </w:t>
      </w:r>
      <w:r w:rsidRPr="00E45814">
        <w:rPr>
          <w:rFonts w:ascii="Times New Roman" w:hAnsi="Times New Roman" w:cs="Times New Roman"/>
          <w:i/>
          <w:sz w:val="26"/>
          <w:szCs w:val="26"/>
        </w:rPr>
        <w:t>(указать).</w:t>
      </w:r>
    </w:p>
    <w:p w14:paraId="4BE0B762" w14:textId="77777777" w:rsidR="00565DC2" w:rsidRPr="00E45814" w:rsidRDefault="00565DC2" w:rsidP="00565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ИНН ____________________________</w:t>
      </w:r>
    </w:p>
    <w:p w14:paraId="06E8074B" w14:textId="77777777" w:rsidR="00565DC2" w:rsidRPr="00E45814" w:rsidRDefault="00565DC2" w:rsidP="00565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С Положением об областном конкурсе на звание «Лучший предприниматель года» ознакомлен.</w:t>
      </w:r>
    </w:p>
    <w:p w14:paraId="0E6C6FD0" w14:textId="77777777" w:rsidR="00565DC2" w:rsidRPr="00E45814" w:rsidRDefault="00565DC2" w:rsidP="00565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Подтверждаю, что_____________________________________________</w:t>
      </w:r>
    </w:p>
    <w:p w14:paraId="710A2E70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581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(краткое наименование субъекта малого и среднего предпринимательства)</w:t>
      </w:r>
    </w:p>
    <w:p w14:paraId="2EA48184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 xml:space="preserve">не находится в стадии реорганизации, ликвидации, в отношении него не введены процедуры банкротства, отсутствует задолженность по платежам в бюджеты всех уровней бюджетной системы Российской Федерации за предыдущий и отчетный год, осуществляет деятельность по адресу: ________________________ </w:t>
      </w:r>
      <w:r w:rsidRPr="00E45814">
        <w:rPr>
          <w:rFonts w:ascii="Times New Roman" w:hAnsi="Times New Roman" w:cs="Times New Roman"/>
          <w:i/>
          <w:sz w:val="26"/>
          <w:szCs w:val="26"/>
        </w:rPr>
        <w:t xml:space="preserve">(указать). </w:t>
      </w:r>
    </w:p>
    <w:p w14:paraId="78095E1F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Контактный телефон и адрес электронной почты</w:t>
      </w:r>
      <w:r w:rsidRPr="00E45814">
        <w:rPr>
          <w:rFonts w:ascii="Times New Roman" w:hAnsi="Times New Roman" w:cs="Times New Roman"/>
          <w:i/>
          <w:sz w:val="26"/>
          <w:szCs w:val="26"/>
        </w:rPr>
        <w:t>________________________.</w:t>
      </w:r>
    </w:p>
    <w:p w14:paraId="1A6CBBCF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Дата рождения руководителя</w:t>
      </w:r>
      <w:r w:rsidRPr="00E45814">
        <w:rPr>
          <w:rFonts w:ascii="Times New Roman" w:hAnsi="Times New Roman" w:cs="Times New Roman"/>
          <w:i/>
          <w:sz w:val="26"/>
          <w:szCs w:val="26"/>
        </w:rPr>
        <w:t xml:space="preserve"> ________________ (указывается, в случае участия в номинации «Молодой предприниматель»).</w:t>
      </w:r>
    </w:p>
    <w:p w14:paraId="586DA115" w14:textId="77777777" w:rsidR="00565DC2" w:rsidRPr="00E45814" w:rsidRDefault="00565DC2" w:rsidP="00565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Полноту и достоверность информации, указанной в настоящей заявке и прилагаемых к ней документах, гарантирую.</w:t>
      </w:r>
    </w:p>
    <w:p w14:paraId="00C974E8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Приложения:</w:t>
      </w:r>
    </w:p>
    <w:p w14:paraId="4B968654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1) ___________________________________________________ на ___ листах;</w:t>
      </w:r>
    </w:p>
    <w:p w14:paraId="68AC1822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2) ___________________________________________________ на ___ листах;</w:t>
      </w:r>
    </w:p>
    <w:p w14:paraId="2D26D0EE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3) ___________________________________________________ на ___ листах.</w:t>
      </w:r>
    </w:p>
    <w:p w14:paraId="452A089C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89933D1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Руководитель организации /индивидуальный предприниматель</w:t>
      </w:r>
    </w:p>
    <w:p w14:paraId="2865CF64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4D1E98C" w14:textId="77777777" w:rsidR="00565DC2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  _____________________  </w:t>
      </w:r>
    </w:p>
    <w:p w14:paraId="63F97EDE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  <w:vertAlign w:val="subscript"/>
        </w:rPr>
        <w:t xml:space="preserve">(Должность, полностью фамилия, имя, </w:t>
      </w:r>
      <w:proofErr w:type="gramStart"/>
      <w:r w:rsidRPr="00E45814">
        <w:rPr>
          <w:rFonts w:ascii="Times New Roman" w:hAnsi="Times New Roman" w:cs="Times New Roman"/>
          <w:sz w:val="26"/>
          <w:szCs w:val="26"/>
          <w:vertAlign w:val="subscript"/>
        </w:rPr>
        <w:t xml:space="preserve">отчество)   </w:t>
      </w:r>
      <w:proofErr w:type="gramEnd"/>
      <w:r w:rsidRPr="00E45814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(подпись)</w:t>
      </w:r>
    </w:p>
    <w:p w14:paraId="7584F0C6" w14:textId="77777777" w:rsidR="00565DC2" w:rsidRPr="00E45814" w:rsidRDefault="00565DC2" w:rsidP="00565D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  <w:vertAlign w:val="subscript"/>
        </w:rPr>
        <w:t>М.П.</w:t>
      </w:r>
    </w:p>
    <w:p w14:paraId="0815CBE0" w14:textId="77777777" w:rsidR="00565DC2" w:rsidRPr="00E45814" w:rsidRDefault="00565DC2" w:rsidP="00565DC2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E45814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E45814">
        <w:rPr>
          <w:rFonts w:ascii="Times New Roman" w:hAnsi="Times New Roman" w:cs="Times New Roman"/>
          <w:sz w:val="26"/>
          <w:szCs w:val="26"/>
        </w:rPr>
        <w:t>_______________ 20___ года</w:t>
      </w:r>
    </w:p>
    <w:p w14:paraId="473B123D" w14:textId="77777777" w:rsidR="00565DC2" w:rsidRPr="00E45814" w:rsidRDefault="00565DC2" w:rsidP="00565DC2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6"/>
          <w:szCs w:val="26"/>
        </w:rPr>
        <w:sectPr w:rsidR="00565DC2" w:rsidRPr="00E45814" w:rsidSect="00565DC2">
          <w:pgSz w:w="12240" w:h="15840"/>
          <w:pgMar w:top="709" w:right="850" w:bottom="1134" w:left="1701" w:header="720" w:footer="720" w:gutter="0"/>
          <w:cols w:space="720"/>
        </w:sectPr>
      </w:pPr>
    </w:p>
    <w:p w14:paraId="40377B09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2</w:t>
      </w:r>
    </w:p>
    <w:p w14:paraId="2B77F00C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об областном </w:t>
      </w:r>
    </w:p>
    <w:p w14:paraId="3340C5CA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конкурсе на звание</w:t>
      </w:r>
    </w:p>
    <w:p w14:paraId="56F0B085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«Лучший предприниматель года»</w:t>
      </w:r>
    </w:p>
    <w:p w14:paraId="6AB0CBDC" w14:textId="77777777" w:rsidR="00565DC2" w:rsidRPr="00E45814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B89A631" w14:textId="77777777" w:rsidR="00565DC2" w:rsidRPr="00E45814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Hlk161236302"/>
      <w:r w:rsidRPr="00E45814">
        <w:rPr>
          <w:rFonts w:ascii="Times New Roman" w:hAnsi="Times New Roman" w:cs="Times New Roman"/>
          <w:sz w:val="26"/>
          <w:szCs w:val="26"/>
        </w:rPr>
        <w:t>СОГЛАСИЕ</w:t>
      </w:r>
    </w:p>
    <w:p w14:paraId="0AB97587" w14:textId="77777777" w:rsidR="00565DC2" w:rsidRPr="00376A59" w:rsidRDefault="00565DC2" w:rsidP="00565DC2">
      <w:pPr>
        <w:spacing w:line="228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76A59">
        <w:rPr>
          <w:rFonts w:ascii="Times New Roman" w:hAnsi="Times New Roman" w:cs="Times New Roman"/>
          <w:sz w:val="26"/>
          <w:szCs w:val="26"/>
        </w:rPr>
        <w:t>субъекта персональных данных</w:t>
      </w:r>
    </w:p>
    <w:p w14:paraId="07DE79B6" w14:textId="77777777" w:rsidR="00565DC2" w:rsidRPr="00435100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6A59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r w:rsidRPr="00376A5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161237213"/>
      <w:bookmarkEnd w:id="5"/>
    </w:p>
    <w:p w14:paraId="7CF00166" w14:textId="77777777" w:rsidR="00565DC2" w:rsidRPr="00435100" w:rsidRDefault="00565DC2" w:rsidP="00565D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bookmarkEnd w:id="6"/>
    <w:p w14:paraId="1E728E6F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Я,_______________________________________________________________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72537">
        <w:rPr>
          <w:rFonts w:ascii="Times New Roman" w:hAnsi="Times New Roman" w:cs="Times New Roman"/>
          <w:sz w:val="26"/>
          <w:szCs w:val="26"/>
        </w:rPr>
        <w:t>, паспорт серия _______ № _______________ выдан «_____» _____________________г. (кем выдан)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72537">
        <w:rPr>
          <w:rFonts w:ascii="Times New Roman" w:hAnsi="Times New Roman" w:cs="Times New Roman"/>
          <w:sz w:val="26"/>
          <w:szCs w:val="26"/>
        </w:rPr>
        <w:t>, зарегистрированный(</w:t>
      </w:r>
      <w:proofErr w:type="spellStart"/>
      <w:r w:rsidRPr="0027253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72537">
        <w:rPr>
          <w:rFonts w:ascii="Times New Roman" w:hAnsi="Times New Roman" w:cs="Times New Roman"/>
          <w:sz w:val="26"/>
          <w:szCs w:val="26"/>
        </w:rPr>
        <w:t>) по адресу: 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2BCEECDA" w14:textId="77777777" w:rsidR="00565DC2" w:rsidRPr="00272537" w:rsidRDefault="00565DC2" w:rsidP="00565DC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адрес электронной почты/телефон/почтовый адрес (хотя бы одно из перечисленного): __________________________________________________________________________</w:t>
      </w:r>
    </w:p>
    <w:p w14:paraId="3C612756" w14:textId="77777777" w:rsidR="00565DC2" w:rsidRPr="00272537" w:rsidRDefault="00565DC2" w:rsidP="00565DC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72537">
        <w:rPr>
          <w:rFonts w:ascii="Times New Roman" w:hAnsi="Times New Roman" w:cs="Times New Roman"/>
          <w:b/>
          <w:bCs/>
          <w:sz w:val="26"/>
          <w:szCs w:val="26"/>
          <w:u w:val="single"/>
        </w:rPr>
        <w:t>ДАЮ СОГЛАСИЕ</w:t>
      </w:r>
      <w:r w:rsidRPr="00272537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лицам </w:t>
      </w:r>
      <w:r w:rsidRPr="00272537">
        <w:rPr>
          <w:rFonts w:ascii="Times New Roman" w:hAnsi="Times New Roman" w:cs="Times New Roman"/>
          <w:b/>
          <w:bCs/>
          <w:sz w:val="26"/>
          <w:szCs w:val="26"/>
        </w:rPr>
        <w:t>НКО Фонд «Инвестиционное агентство ЕАО»</w:t>
      </w:r>
      <w:r w:rsidRPr="00272537">
        <w:rPr>
          <w:rFonts w:ascii="Times New Roman" w:hAnsi="Times New Roman" w:cs="Times New Roman"/>
          <w:sz w:val="26"/>
          <w:szCs w:val="26"/>
        </w:rPr>
        <w:t>, адрес: 679016, Еврейская автономная область, г. Биробиджан, проспект 60-летия СССР, д. 12 «а» (далее – Оператор), на обработку* следующих персональных данных:</w:t>
      </w:r>
    </w:p>
    <w:p w14:paraId="762ED44C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ФИО; дата рождения; место рождения; контактные телефоны (или иной вид связи); ИНН; должность; фотография; адрес регистрации; данные документа (серия, номер), удостоверяющего личность; наименование органа, выдавшего документ, удостоверяющий личность; код подразделения органа, выдавшего документ, удостоверяющий личность; дата выдачи документа, удостоверяющего личность; адрес проживания; дата регистрации по месту жительства; адрес электронной почты; иные сведения,</w:t>
      </w:r>
    </w:p>
    <w:p w14:paraId="7D936170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в целях оказания государственных услуг, оформления договорных отношений в соответствии с законодательством Российской Федерации, ведения основной деятельности, реализации уставных задач,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1A0E1361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290A364C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Я свободно, своей волей в соответствии с требованиями Федерального закона от 27 июля 2006 г. № 152-ФЗ «О персональных данных» даю согласие Оператору на передачу моих персональных данных третьим лицам – исполнителям услуг для выполнения договоров, заключаемых Оператором.</w:t>
      </w:r>
    </w:p>
    <w:p w14:paraId="07D1D515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пп.2-10 ч.2 ст.10 Федерального </w:t>
      </w:r>
      <w:r w:rsidRPr="00272537">
        <w:rPr>
          <w:rFonts w:ascii="Times New Roman" w:hAnsi="Times New Roman" w:cs="Times New Roman"/>
          <w:sz w:val="26"/>
          <w:szCs w:val="26"/>
        </w:rPr>
        <w:lastRenderedPageBreak/>
        <w:t>закона от 27 июля 2006 г. № 152-ФЗ «О персональных данных».</w:t>
      </w:r>
    </w:p>
    <w:p w14:paraId="17E84772" w14:textId="77777777" w:rsidR="00565DC2" w:rsidRPr="00272537" w:rsidRDefault="00565DC2" w:rsidP="00565DC2">
      <w:pPr>
        <w:spacing w:line="228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Я так же, свободно, своей волей в соответствии с требованиями Федерального закона от 27 июля 2006 г. № 152-ФЗ «О персональных данных» даю согласие Оператору на передачу моих персональных данных, указанных в настоящем Согласии, третьим лицам - иным  операторам, в целях обязательной отчётности, осуществления и выполнения Оператором своих функций, полномочий и обязанностей, в том числе: органам федеральной государственной власти, органам государственной власти ЕАО, АО «Корпорация МСП», АО «РЭЦ».</w:t>
      </w:r>
    </w:p>
    <w:p w14:paraId="45099876" w14:textId="77777777" w:rsidR="00565DC2" w:rsidRDefault="00565DC2" w:rsidP="00565DC2">
      <w:pPr>
        <w:spacing w:line="228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Данное согласие на обработку персональных данных вступает в силу с даты подписания и действует 5 лет. Согласие может быть досрочно отозвано путем подачи письменного заявления в адрес Оператора.</w:t>
      </w:r>
    </w:p>
    <w:p w14:paraId="1C2ABB9D" w14:textId="77777777" w:rsidR="00565DC2" w:rsidRPr="00272537" w:rsidRDefault="00565DC2" w:rsidP="00565DC2">
      <w:pPr>
        <w:spacing w:line="228" w:lineRule="auto"/>
        <w:ind w:right="-1"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3194"/>
        <w:gridCol w:w="3192"/>
        <w:gridCol w:w="3191"/>
      </w:tblGrid>
      <w:tr w:rsidR="00565DC2" w:rsidRPr="00272537" w14:paraId="792B405F" w14:textId="77777777" w:rsidTr="003C6F8D">
        <w:trPr>
          <w:trHeight w:val="91"/>
        </w:trPr>
        <w:tc>
          <w:tcPr>
            <w:tcW w:w="1667" w:type="pct"/>
            <w:vAlign w:val="bottom"/>
          </w:tcPr>
          <w:p w14:paraId="2E6C3A39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28" w:lineRule="auto"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bookmarkStart w:id="7" w:name="_Hlk159331515"/>
            <w:r w:rsidRPr="002725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</w:t>
            </w:r>
          </w:p>
        </w:tc>
        <w:tc>
          <w:tcPr>
            <w:tcW w:w="1666" w:type="pct"/>
            <w:vAlign w:val="bottom"/>
          </w:tcPr>
          <w:p w14:paraId="09025B6D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28" w:lineRule="auto"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</w:t>
            </w:r>
          </w:p>
        </w:tc>
        <w:tc>
          <w:tcPr>
            <w:tcW w:w="1666" w:type="pct"/>
            <w:vAlign w:val="bottom"/>
          </w:tcPr>
          <w:p w14:paraId="3A7A1959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28" w:lineRule="auto"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</w:t>
            </w:r>
          </w:p>
        </w:tc>
      </w:tr>
      <w:tr w:rsidR="00565DC2" w:rsidRPr="00272537" w14:paraId="055377CA" w14:textId="77777777" w:rsidTr="003C6F8D">
        <w:trPr>
          <w:trHeight w:val="80"/>
        </w:trPr>
        <w:tc>
          <w:tcPr>
            <w:tcW w:w="1667" w:type="pct"/>
          </w:tcPr>
          <w:p w14:paraId="0B5182F0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28" w:lineRule="auto"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1666" w:type="pct"/>
          </w:tcPr>
          <w:p w14:paraId="5118DF91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28" w:lineRule="auto"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666" w:type="pct"/>
          </w:tcPr>
          <w:p w14:paraId="4245A839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28" w:lineRule="auto"/>
              <w:ind w:right="-17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  <w:bookmarkEnd w:id="7"/>
      </w:tr>
    </w:tbl>
    <w:p w14:paraId="6E273521" w14:textId="77777777" w:rsidR="00565DC2" w:rsidRPr="00272537" w:rsidRDefault="00565DC2" w:rsidP="00565DC2">
      <w:pPr>
        <w:spacing w:line="228" w:lineRule="auto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14:paraId="712E2E64" w14:textId="77777777" w:rsidR="00565DC2" w:rsidRPr="00272537" w:rsidRDefault="00565DC2" w:rsidP="00565DC2">
      <w:pPr>
        <w:spacing w:line="228" w:lineRule="auto"/>
        <w:ind w:right="5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72537">
        <w:rPr>
          <w:rFonts w:ascii="Times New Roman" w:hAnsi="Times New Roman" w:cs="Times New Roman"/>
          <w:sz w:val="26"/>
          <w:szCs w:val="26"/>
        </w:rPr>
        <w:t>*</w:t>
      </w:r>
      <w:r w:rsidRPr="00272537">
        <w:rPr>
          <w:rFonts w:ascii="Times New Roman" w:hAnsi="Times New Roman" w:cs="Times New Roman"/>
          <w:sz w:val="22"/>
          <w:szCs w:val="22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вышестоящим органам исполнительной власти и иным контрольным (надзорным) органам, блокирование, удаление, уничтожение.</w:t>
      </w:r>
    </w:p>
    <w:p w14:paraId="13B6B8D4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3DD524A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CAAC058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DA1B32D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F63C2EE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139E86B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5964768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13E4869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D6C9FA3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B351298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E17497B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E6ABB9C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FAC5E42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2A8FD4A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809EEA0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0145BF3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8183B5C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4AA4091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27BD62A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3D3DAC9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17CF61B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A66A3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E406CBB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89822E3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F7F6051" w14:textId="77777777" w:rsidR="00565DC2" w:rsidRDefault="00565DC2" w:rsidP="00565DC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49ED4F3" w14:textId="77777777" w:rsidR="00565DC2" w:rsidRPr="00E45814" w:rsidRDefault="00565DC2" w:rsidP="00565DC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1C5C39BC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Приложение № 3</w:t>
      </w:r>
    </w:p>
    <w:p w14:paraId="191F9167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 Положению об областном </w:t>
      </w:r>
    </w:p>
    <w:p w14:paraId="6B19E76B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конкурсе на звание</w:t>
      </w:r>
    </w:p>
    <w:p w14:paraId="5BCFED41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«Лучший предприниматель года»</w:t>
      </w:r>
    </w:p>
    <w:p w14:paraId="52CDBA58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397292BE" w14:textId="77777777" w:rsidR="00565DC2" w:rsidRPr="00E45814" w:rsidRDefault="00565DC2" w:rsidP="00565DC2">
      <w:pPr>
        <w:widowControl/>
        <w:autoSpaceDE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45814">
        <w:rPr>
          <w:rFonts w:ascii="Times New Roman" w:hAnsi="Times New Roman" w:cs="Times New Roman"/>
          <w:sz w:val="26"/>
          <w:szCs w:val="26"/>
        </w:rPr>
        <w:t>СОГЛАСИЕ</w:t>
      </w:r>
    </w:p>
    <w:p w14:paraId="7B745584" w14:textId="77777777" w:rsidR="00565DC2" w:rsidRPr="00376A59" w:rsidRDefault="00565DC2" w:rsidP="00565DC2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bookmarkStart w:id="8" w:name="_Hlk119072316"/>
      <w:r w:rsidRPr="00376A59">
        <w:rPr>
          <w:sz w:val="26"/>
          <w:szCs w:val="26"/>
        </w:rPr>
        <w:t xml:space="preserve">на обработку персональных данных, </w:t>
      </w:r>
    </w:p>
    <w:p w14:paraId="3901A8A2" w14:textId="77777777" w:rsidR="00565DC2" w:rsidRPr="00435100" w:rsidRDefault="00565DC2" w:rsidP="00565DC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6A59">
        <w:rPr>
          <w:rFonts w:ascii="Times New Roman" w:hAnsi="Times New Roman" w:cs="Times New Roman"/>
          <w:sz w:val="26"/>
          <w:szCs w:val="26"/>
        </w:rPr>
        <w:t>разрешенных субъектом персональных данных для распространения</w:t>
      </w:r>
      <w:r w:rsidRPr="0027253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AF161D" w14:textId="77777777" w:rsidR="00565DC2" w:rsidRPr="00435100" w:rsidRDefault="00565DC2" w:rsidP="00565DC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F0000C" w14:textId="77777777" w:rsidR="00565DC2" w:rsidRPr="00272537" w:rsidRDefault="00565DC2" w:rsidP="00565D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Я,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________________________________________________________________________</w:t>
      </w:r>
      <w:r w:rsidRPr="00272537">
        <w:rPr>
          <w:rFonts w:ascii="Times New Roman" w:hAnsi="Times New Roman" w:cs="Times New Roman"/>
          <w:sz w:val="26"/>
          <w:szCs w:val="26"/>
        </w:rPr>
        <w:t xml:space="preserve">, паспорт серия 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</w:t>
      </w:r>
      <w:r w:rsidRPr="00272537">
        <w:rPr>
          <w:rFonts w:ascii="Times New Roman" w:hAnsi="Times New Roman" w:cs="Times New Roman"/>
          <w:sz w:val="26"/>
          <w:szCs w:val="26"/>
        </w:rPr>
        <w:t xml:space="preserve"> № 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________________</w:t>
      </w:r>
      <w:r w:rsidRPr="00272537">
        <w:rPr>
          <w:rFonts w:ascii="Times New Roman" w:hAnsi="Times New Roman" w:cs="Times New Roman"/>
          <w:sz w:val="26"/>
          <w:szCs w:val="26"/>
        </w:rPr>
        <w:t xml:space="preserve"> выдан «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</w:t>
      </w:r>
      <w:r w:rsidRPr="00272537">
        <w:rPr>
          <w:rFonts w:ascii="Times New Roman" w:hAnsi="Times New Roman" w:cs="Times New Roman"/>
          <w:sz w:val="26"/>
          <w:szCs w:val="26"/>
        </w:rPr>
        <w:t>» __________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______</w:t>
      </w:r>
      <w:r w:rsidRPr="00272537">
        <w:rPr>
          <w:rFonts w:ascii="Times New Roman" w:hAnsi="Times New Roman" w:cs="Times New Roman"/>
          <w:sz w:val="26"/>
          <w:szCs w:val="26"/>
        </w:rPr>
        <w:t> г. (кем выдан)___________________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>_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</w:p>
    <w:p w14:paraId="743E97F6" w14:textId="77777777" w:rsidR="00565DC2" w:rsidRPr="00272537" w:rsidRDefault="00565DC2" w:rsidP="00565DC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272537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72537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bCs/>
          <w:iCs/>
          <w:sz w:val="26"/>
          <w:szCs w:val="26"/>
        </w:rPr>
        <w:t>__</w:t>
      </w:r>
    </w:p>
    <w:p w14:paraId="20589CC6" w14:textId="77777777" w:rsidR="00565DC2" w:rsidRPr="00272537" w:rsidRDefault="00565DC2" w:rsidP="00565DC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72537">
        <w:rPr>
          <w:rFonts w:ascii="Times New Roman" w:hAnsi="Times New Roman" w:cs="Times New Roman"/>
          <w:bCs/>
          <w:iCs/>
          <w:sz w:val="26"/>
          <w:szCs w:val="26"/>
        </w:rPr>
        <w:t>адрес электронной почты/телефон/почтовый адрес (</w:t>
      </w:r>
      <w:r w:rsidRPr="00272537">
        <w:rPr>
          <w:rFonts w:ascii="Times New Roman" w:hAnsi="Times New Roman" w:cs="Times New Roman"/>
          <w:bCs/>
          <w:i/>
          <w:iCs/>
          <w:sz w:val="26"/>
          <w:szCs w:val="26"/>
        </w:rPr>
        <w:t>хотя бы одно из перечисленного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): __________________________________________________________________________</w:t>
      </w:r>
    </w:p>
    <w:bookmarkEnd w:id="8"/>
    <w:p w14:paraId="02831AB2" w14:textId="77777777" w:rsidR="00565DC2" w:rsidRPr="00272537" w:rsidRDefault="00565DC2" w:rsidP="00565DC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bCs/>
          <w:iCs/>
          <w:sz w:val="26"/>
          <w:szCs w:val="26"/>
        </w:rPr>
        <w:t>свободно, своей волей и в своем интересе даю свое согласие Некоммерческой  организации - Фонд «Инвестиционное агентство Еврейской автономной области» (НКО  Фонд «Инвестиционное агентство ЕАО»)</w:t>
      </w:r>
      <w:r w:rsidRPr="00272537">
        <w:rPr>
          <w:rFonts w:ascii="Times New Roman" w:hAnsi="Times New Roman" w:cs="Times New Roman"/>
          <w:sz w:val="26"/>
          <w:szCs w:val="26"/>
        </w:rPr>
        <w:t xml:space="preserve"> (далее – Оператор),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72537">
        <w:rPr>
          <w:rFonts w:ascii="Times New Roman" w:hAnsi="Times New Roman" w:cs="Times New Roman"/>
          <w:sz w:val="26"/>
          <w:szCs w:val="26"/>
        </w:rPr>
        <w:t xml:space="preserve">ИНН 7901549310, ОГРН </w:t>
      </w:r>
      <w:r w:rsidRPr="00272537">
        <w:rPr>
          <w:rFonts w:ascii="Times New Roman" w:hAnsi="Times New Roman" w:cs="Times New Roman"/>
          <w:color w:val="000000"/>
          <w:sz w:val="26"/>
          <w:szCs w:val="26"/>
        </w:rPr>
        <w:t xml:space="preserve">1187901000165 </w:t>
      </w:r>
      <w:r w:rsidRPr="00272537">
        <w:rPr>
          <w:rFonts w:ascii="Times New Roman" w:hAnsi="Times New Roman" w:cs="Times New Roman"/>
          <w:bCs/>
          <w:iCs/>
          <w:sz w:val="26"/>
          <w:szCs w:val="26"/>
        </w:rPr>
        <w:t>на обработку моих персональных данных и разрешаю их распространение</w:t>
      </w:r>
      <w:r w:rsidRPr="00272537">
        <w:rPr>
          <w:rFonts w:ascii="Times New Roman" w:hAnsi="Times New Roman" w:cs="Times New Roman"/>
          <w:sz w:val="26"/>
          <w:szCs w:val="26"/>
        </w:rPr>
        <w:t>.</w:t>
      </w:r>
      <w:r w:rsidRPr="0027253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7AA3CC11" w14:textId="77777777" w:rsidR="00565DC2" w:rsidRPr="00272537" w:rsidRDefault="00565DC2" w:rsidP="00565DC2">
      <w:pPr>
        <w:widowControl/>
        <w:spacing w:before="12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72537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Адрес Оператора: 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679016, Еврейская автономная область, г. Биробиджан, проспект                60-летия СССР, д. 12 «а». </w:t>
      </w:r>
    </w:p>
    <w:p w14:paraId="78D8AB39" w14:textId="77777777" w:rsidR="00565DC2" w:rsidRPr="00272537" w:rsidRDefault="00565DC2" w:rsidP="00565DC2">
      <w:pPr>
        <w:widowControl/>
        <w:spacing w:before="120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272537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Цель обработки персональных данных:</w:t>
      </w:r>
    </w:p>
    <w:p w14:paraId="2B2DB500" w14:textId="77777777" w:rsidR="00565DC2" w:rsidRPr="00272537" w:rsidRDefault="00565DC2" w:rsidP="00565DC2">
      <w:pPr>
        <w:widowControl/>
        <w:spacing w:line="259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оказание государственных услуг, офор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мле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ние до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говор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ных от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но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шений в со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от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ветс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твии с за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коно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датель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ством Рос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сий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ской Фе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дера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ции, ве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дение ос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новной де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ятель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нос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ти, ре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али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зация ус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тавных за</w:t>
      </w:r>
      <w:r w:rsidRPr="0027253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softHyphen/>
        <w:t>дач, осуществление и выполнение возложенных законодательством Российской Федерации на Оператора функций, полномочий и обязанностей.</w:t>
      </w:r>
    </w:p>
    <w:p w14:paraId="13858E41" w14:textId="77777777" w:rsidR="00565DC2" w:rsidRPr="00272537" w:rsidRDefault="00565DC2" w:rsidP="00565DC2">
      <w:pPr>
        <w:widowControl/>
        <w:spacing w:before="120" w:after="1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 w:rsidRPr="00272537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W w:w="98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2126"/>
        <w:gridCol w:w="2978"/>
      </w:tblGrid>
      <w:tr w:rsidR="00565DC2" w:rsidRPr="00272537" w14:paraId="5FC849C4" w14:textId="77777777" w:rsidTr="003C6F8D">
        <w:trPr>
          <w:trHeight w:val="4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182" w14:textId="77777777" w:rsidR="00565DC2" w:rsidRPr="00435100" w:rsidRDefault="00565DC2" w:rsidP="003C6F8D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D0E" w14:textId="77777777" w:rsidR="00565DC2" w:rsidRPr="00435100" w:rsidRDefault="00565DC2" w:rsidP="003C6F8D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7BD" w14:textId="77777777" w:rsidR="00565DC2" w:rsidRPr="00435100" w:rsidRDefault="00565DC2" w:rsidP="003C6F8D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Разрешение к распространению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33B" w14:textId="77777777" w:rsidR="00565DC2" w:rsidRPr="00435100" w:rsidRDefault="00565DC2" w:rsidP="003C6F8D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Условия и запреты</w:t>
            </w:r>
          </w:p>
        </w:tc>
      </w:tr>
      <w:tr w:rsidR="00565DC2" w:rsidRPr="00272537" w14:paraId="175F78FE" w14:textId="77777777" w:rsidTr="003C6F8D">
        <w:trPr>
          <w:trHeight w:val="22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D4C" w14:textId="77777777" w:rsidR="00565DC2" w:rsidRPr="00435100" w:rsidRDefault="00565DC2" w:rsidP="003C6F8D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Персональные данные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EF6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BF9A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7CA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0A2EAB4C" w14:textId="77777777" w:rsidTr="003C6F8D">
        <w:trPr>
          <w:trHeight w:val="211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5C20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05C6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815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75D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3BBD1FCE" w14:textId="77777777" w:rsidTr="003C6F8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44A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EC5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Контактные телефоны (или иной вид связи)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4C5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529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0FE2A203" w14:textId="77777777" w:rsidTr="003C6F8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99E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CB1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310E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D1C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16A22051" w14:textId="77777777" w:rsidTr="003C6F8D">
        <w:trPr>
          <w:trHeight w:val="2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3DE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6A9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EE9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F5B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0DECD866" w14:textId="77777777" w:rsidTr="003C6F8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720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D33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0EC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6B8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26B99FA3" w14:textId="77777777" w:rsidTr="003C6F8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5BA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5503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1E9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581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157AC2B1" w14:textId="77777777" w:rsidTr="003C6F8D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56A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C00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355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AB9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DC2" w:rsidRPr="00272537" w14:paraId="04D1F90A" w14:textId="77777777" w:rsidTr="003C6F8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BEB8" w14:textId="77777777" w:rsidR="00565DC2" w:rsidRPr="00435100" w:rsidRDefault="00565DC2" w:rsidP="003C6F8D">
            <w:pPr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Биометрические персональные данные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816" w14:textId="77777777" w:rsidR="00565DC2" w:rsidRPr="00435100" w:rsidRDefault="00565DC2" w:rsidP="003C6F8D">
            <w:pPr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 xml:space="preserve">Фотографическое изображение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328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418" w14:textId="77777777" w:rsidR="00565DC2" w:rsidRPr="00435100" w:rsidRDefault="00565DC2" w:rsidP="003C6F8D">
            <w:pPr>
              <w:widowControl/>
              <w:spacing w:line="19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4BB094" w14:textId="77777777" w:rsidR="00565DC2" w:rsidRPr="00272537" w:rsidRDefault="00565DC2" w:rsidP="00565DC2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0C1DD3B" w14:textId="77777777" w:rsidR="00565DC2" w:rsidRPr="00272537" w:rsidRDefault="00565DC2" w:rsidP="00565DC2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565DC2" w:rsidRPr="00272537" w14:paraId="533AE241" w14:textId="77777777" w:rsidTr="003C6F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481" w14:textId="77777777" w:rsidR="00565DC2" w:rsidRPr="00435100" w:rsidRDefault="00565DC2" w:rsidP="003C6F8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B0F" w14:textId="77777777" w:rsidR="00565DC2" w:rsidRPr="00435100" w:rsidRDefault="00565DC2" w:rsidP="003C6F8D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565DC2" w:rsidRPr="00272537" w14:paraId="0AB17D02" w14:textId="77777777" w:rsidTr="003C6F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F5B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https://www.eao.ru/</w:t>
            </w:r>
          </w:p>
          <w:p w14:paraId="3C82046F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https://mybusiness79.ru</w:t>
            </w:r>
          </w:p>
          <w:p w14:paraId="62F0F003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https://agro79.ru</w:t>
            </w:r>
          </w:p>
          <w:p w14:paraId="50348D30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http://invest.eao.ru</w:t>
            </w:r>
          </w:p>
          <w:p w14:paraId="0B194C13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http://jarexport.ru</w:t>
            </w:r>
          </w:p>
          <w:p w14:paraId="64881C03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https://vk.com/moi_biz79</w:t>
            </w:r>
          </w:p>
          <w:p w14:paraId="54A7983F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https://ok.ru/moibiz79</w:t>
            </w:r>
          </w:p>
          <w:p w14:paraId="3C889E13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https://t.me/mybusiness79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1C09" w14:textId="77777777" w:rsidR="00565DC2" w:rsidRPr="00435100" w:rsidRDefault="00565DC2" w:rsidP="003C6F8D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35100">
              <w:rPr>
                <w:rFonts w:ascii="Times New Roman" w:hAnsi="Times New Roman" w:cs="Times New Roman"/>
                <w:sz w:val="22"/>
                <w:szCs w:val="22"/>
              </w:rPr>
              <w:t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</w:t>
            </w:r>
          </w:p>
        </w:tc>
      </w:tr>
    </w:tbl>
    <w:p w14:paraId="5615733E" w14:textId="77777777" w:rsidR="00565DC2" w:rsidRPr="00272537" w:rsidRDefault="00565DC2" w:rsidP="00565DC2">
      <w:pPr>
        <w:widowControl/>
        <w:autoSpaceDE/>
        <w:autoSpaceDN/>
        <w:adjustRightInd/>
        <w:spacing w:line="259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3"/>
        <w:gridCol w:w="4590"/>
      </w:tblGrid>
      <w:tr w:rsidR="00565DC2" w:rsidRPr="00272537" w14:paraId="1DD3D9C0" w14:textId="77777777" w:rsidTr="003C6F8D">
        <w:tc>
          <w:tcPr>
            <w:tcW w:w="5229" w:type="dxa"/>
          </w:tcPr>
          <w:p w14:paraId="0FF2F03C" w14:textId="77777777" w:rsidR="00565DC2" w:rsidRPr="00272537" w:rsidRDefault="00565DC2" w:rsidP="003C6F8D">
            <w:pPr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2725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Отсутствуют условия и запреты для всех категорий и перечней данных </w:t>
            </w:r>
          </w:p>
          <w:p w14:paraId="75F6F80C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94" w:type="dxa"/>
          </w:tcPr>
          <w:p w14:paraId="1E96E4CA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272537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 xml:space="preserve">Подпись субъекта </w:t>
            </w:r>
            <w:proofErr w:type="spellStart"/>
            <w:r w:rsidRPr="00272537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ПДн</w:t>
            </w:r>
            <w:proofErr w:type="spellEnd"/>
          </w:p>
        </w:tc>
      </w:tr>
    </w:tbl>
    <w:p w14:paraId="63554F59" w14:textId="77777777" w:rsidR="00565DC2" w:rsidRPr="00272537" w:rsidRDefault="00565DC2" w:rsidP="00565DC2">
      <w:pPr>
        <w:spacing w:before="100" w:beforeAutospacing="1" w:after="100" w:afterAutospacing="1" w:line="233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72537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данных, разрешённых субъектом персональных данных для распространения, вступает в силу с даты подписания и действует 5 лет. Согласие может быть досрочно отозвано путем подачи письменного заявления в адрес Оператора.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6"/>
        <w:gridCol w:w="667"/>
        <w:gridCol w:w="2666"/>
        <w:gridCol w:w="517"/>
        <w:gridCol w:w="2663"/>
      </w:tblGrid>
      <w:tr w:rsidR="00565DC2" w:rsidRPr="00272537" w14:paraId="41100E3A" w14:textId="77777777" w:rsidTr="003C6F8D">
        <w:tc>
          <w:tcPr>
            <w:tcW w:w="1599" w:type="pct"/>
            <w:tcBorders>
              <w:bottom w:val="single" w:sz="4" w:space="0" w:color="auto"/>
            </w:tcBorders>
          </w:tcPr>
          <w:p w14:paraId="5AD1F6CD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336" w:type="pct"/>
          </w:tcPr>
          <w:p w14:paraId="43F5FEC6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14:paraId="4F3BC5C6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60" w:type="pct"/>
          </w:tcPr>
          <w:p w14:paraId="431F2096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  <w:tcBorders>
              <w:bottom w:val="single" w:sz="4" w:space="0" w:color="auto"/>
            </w:tcBorders>
          </w:tcPr>
          <w:p w14:paraId="1C31E44D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565DC2" w:rsidRPr="00272537" w14:paraId="1CD4E5D6" w14:textId="77777777" w:rsidTr="003C6F8D">
        <w:tc>
          <w:tcPr>
            <w:tcW w:w="1599" w:type="pct"/>
          </w:tcPr>
          <w:p w14:paraId="1FFEA003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336" w:type="pct"/>
          </w:tcPr>
          <w:p w14:paraId="064D5DDF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2" w:type="pct"/>
          </w:tcPr>
          <w:p w14:paraId="6116F220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0" w:type="pct"/>
          </w:tcPr>
          <w:p w14:paraId="4853A5B8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340" w:type="pct"/>
          </w:tcPr>
          <w:p w14:paraId="4C09537E" w14:textId="77777777" w:rsidR="00565DC2" w:rsidRPr="00272537" w:rsidRDefault="00565DC2" w:rsidP="003C6F8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72537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E820D26" w14:textId="77777777" w:rsidR="00565DC2" w:rsidRPr="00272537" w:rsidRDefault="00565DC2" w:rsidP="00565DC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14:paraId="4E3F2C71" w14:textId="77777777" w:rsidR="00565DC2" w:rsidRDefault="00565DC2" w:rsidP="00565DC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6898C962" w14:textId="77777777" w:rsidR="00565DC2" w:rsidRPr="00E45814" w:rsidRDefault="00565DC2" w:rsidP="00565DC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4872A8BD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1C04954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8CA0037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87742FA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12515A8C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60B6BB9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F308143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52DB8DC7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BDAEC1A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8A06EFF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2DCF0667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7A35681E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6DE84AC5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03895BC9" w14:textId="77777777" w:rsidR="00565DC2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</w:p>
    <w:p w14:paraId="4792D701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 4</w:t>
      </w:r>
    </w:p>
    <w:p w14:paraId="674F28E9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об областном </w:t>
      </w:r>
    </w:p>
    <w:p w14:paraId="62E173E5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конкурсе на звание</w:t>
      </w:r>
    </w:p>
    <w:p w14:paraId="7E27FEB1" w14:textId="77777777" w:rsidR="00565DC2" w:rsidRPr="00E45814" w:rsidRDefault="00565DC2" w:rsidP="00565DC2">
      <w:pPr>
        <w:ind w:firstLine="5387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«Лучший предприниматель года»</w:t>
      </w:r>
    </w:p>
    <w:p w14:paraId="5F62B8B8" w14:textId="77777777" w:rsidR="00565DC2" w:rsidRDefault="00565DC2" w:rsidP="00565DC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695564C0" w14:textId="77777777" w:rsidR="00565DC2" w:rsidRPr="00E45814" w:rsidRDefault="00565DC2" w:rsidP="00565DC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 xml:space="preserve">Таблица показателей </w:t>
      </w:r>
    </w:p>
    <w:p w14:paraId="0C0707E6" w14:textId="77777777" w:rsidR="00565DC2" w:rsidRPr="00435100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45814">
        <w:rPr>
          <w:rFonts w:ascii="Times New Roman" w:hAnsi="Times New Roman" w:cs="Times New Roman"/>
          <w:color w:val="000000"/>
          <w:sz w:val="26"/>
          <w:szCs w:val="26"/>
        </w:rPr>
        <w:t>эффективности деятельности субъектов малого и среднего предпринимательства</w:t>
      </w:r>
    </w:p>
    <w:p w14:paraId="04C6B67C" w14:textId="77777777" w:rsidR="00565DC2" w:rsidRPr="00435100" w:rsidRDefault="00565DC2" w:rsidP="00565DC2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3825"/>
        <w:gridCol w:w="1566"/>
        <w:gridCol w:w="1395"/>
        <w:gridCol w:w="2240"/>
      </w:tblGrid>
      <w:tr w:rsidR="00565DC2" w:rsidRPr="00E45814" w14:paraId="3032D61F" w14:textId="77777777" w:rsidTr="003C6F8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61CD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14:paraId="57DBDC7F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6EAFA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2F72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за год, предшествую-</w:t>
            </w:r>
          </w:p>
          <w:p w14:paraId="2AD5EBDA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щий</w:t>
            </w:r>
            <w:proofErr w:type="spellEnd"/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отчетному</w:t>
            </w:r>
          </w:p>
          <w:p w14:paraId="6BC5CFF4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году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1EC7A19A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F6264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за отчетный год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*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6BE812C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E7617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Темп прироста, % (от 0 до 100 процентов, увеличение в разы обозначается также в процентах, например, увеличение в 2 раза = 200 процентов)</w:t>
            </w:r>
          </w:p>
          <w:p w14:paraId="79B502A1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Отрицательные значения обозначаются со знаком «минус», например, «-2 процента»</w:t>
            </w:r>
          </w:p>
        </w:tc>
      </w:tr>
      <w:tr w:rsidR="00565DC2" w:rsidRPr="00E45814" w14:paraId="1949EFED" w14:textId="77777777" w:rsidTr="003C6F8D">
        <w:trPr>
          <w:trHeight w:val="51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3203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47343" w14:textId="77777777" w:rsidR="00565DC2" w:rsidRPr="00324F66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Выручка от реализации товаров, продукции, работ,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8079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F1A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2450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DC2" w:rsidRPr="00E45814" w14:paraId="0757F328" w14:textId="77777777" w:rsidTr="003C6F8D">
        <w:trPr>
          <w:trHeight w:val="141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08ED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13DEB" w14:textId="77777777" w:rsidR="00565DC2" w:rsidRPr="00324F66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7B2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6403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397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DC2" w:rsidRPr="00E45814" w14:paraId="6A25A214" w14:textId="77777777" w:rsidTr="003C6F8D">
        <w:trPr>
          <w:trHeight w:val="41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7FD34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C28" w14:textId="77777777" w:rsidR="00565DC2" w:rsidRPr="00324F66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Чистая прибыль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B353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33FF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83FF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DC2" w:rsidRPr="00E45814" w14:paraId="3E1F780A" w14:textId="77777777" w:rsidTr="003C6F8D">
        <w:trPr>
          <w:trHeight w:val="55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CE4E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25589" w14:textId="77777777" w:rsidR="00565DC2" w:rsidRPr="00324F66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4263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CBC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C7B0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DC2" w:rsidRPr="00E45814" w14:paraId="2C64156C" w14:textId="77777777" w:rsidTr="003C6F8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EDF3" w14:textId="77777777" w:rsidR="00565DC2" w:rsidRPr="00324F66" w:rsidRDefault="00565DC2" w:rsidP="003C6F8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66B6" w14:textId="77777777" w:rsidR="00565DC2" w:rsidRPr="00324F66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0904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16F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9724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65DC2" w:rsidRPr="00E45814" w14:paraId="1CD63544" w14:textId="77777777" w:rsidTr="003C6F8D">
        <w:trPr>
          <w:trHeight w:val="1581"/>
        </w:trPr>
        <w:tc>
          <w:tcPr>
            <w:tcW w:w="99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96A5CE" w14:textId="77777777" w:rsidR="00565DC2" w:rsidRPr="00435100" w:rsidRDefault="00565DC2" w:rsidP="003C6F8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C6393F3" w14:textId="77777777" w:rsidR="00565DC2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год, предшествующий отчетному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2022 г.</w:t>
            </w:r>
          </w:p>
          <w:p w14:paraId="032F8907" w14:textId="77777777" w:rsidR="00565DC2" w:rsidRPr="00324F66" w:rsidRDefault="00565DC2" w:rsidP="003C6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  <w:r w:rsidRPr="00324F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отчетный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2023 г.</w:t>
            </w:r>
          </w:p>
          <w:p w14:paraId="51A88A6A" w14:textId="77777777" w:rsidR="00565DC2" w:rsidRPr="00324F66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D2D92E" w14:textId="77777777" w:rsidR="00565DC2" w:rsidRPr="00435100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28DEE" w14:textId="77777777" w:rsidR="00565DC2" w:rsidRPr="00324F66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sz w:val="22"/>
                <w:szCs w:val="22"/>
              </w:rPr>
              <w:t>Достоверность представленной в таблице информации подтверждаю.</w:t>
            </w:r>
          </w:p>
          <w:p w14:paraId="666BC398" w14:textId="77777777" w:rsidR="00565DC2" w:rsidRPr="00324F66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sz w:val="22"/>
                <w:szCs w:val="22"/>
              </w:rPr>
              <w:t>Руководитель организации /индивидуальный предприниматель</w:t>
            </w:r>
          </w:p>
          <w:p w14:paraId="4F3B79C8" w14:textId="77777777" w:rsidR="00565DC2" w:rsidRPr="00324F66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  _____________________  </w:t>
            </w:r>
          </w:p>
          <w:p w14:paraId="37BBC626" w14:textId="77777777" w:rsidR="00565DC2" w:rsidRPr="00324F66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324F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(Должность, полностью фамилия, имя, </w:t>
            </w:r>
            <w:proofErr w:type="gramStart"/>
            <w:r w:rsidRPr="00324F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отчество)   </w:t>
            </w:r>
            <w:proofErr w:type="gramEnd"/>
            <w:r w:rsidRPr="00324F6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                                     (подпись)</w:t>
            </w:r>
          </w:p>
          <w:p w14:paraId="39AD6723" w14:textId="77777777" w:rsidR="00565DC2" w:rsidRPr="00324F66" w:rsidRDefault="00565DC2" w:rsidP="003C6F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5A808E" w14:textId="77777777" w:rsidR="00565DC2" w:rsidRPr="00324F66" w:rsidRDefault="00565DC2" w:rsidP="003C6F8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14:paraId="4702B56E" w14:textId="77777777" w:rsidR="00565DC2" w:rsidRPr="00324F66" w:rsidRDefault="00565DC2" w:rsidP="003C6F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24F66">
              <w:rPr>
                <w:rFonts w:ascii="Times New Roman" w:hAnsi="Times New Roman" w:cs="Times New Roman"/>
                <w:sz w:val="22"/>
                <w:szCs w:val="22"/>
              </w:rPr>
              <w:t>«__</w:t>
            </w:r>
            <w:proofErr w:type="gramStart"/>
            <w:r w:rsidRPr="00324F66">
              <w:rPr>
                <w:rFonts w:ascii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324F6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324F6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324F66">
              <w:rPr>
                <w:rFonts w:ascii="Times New Roman" w:hAnsi="Times New Roman" w:cs="Times New Roman"/>
                <w:sz w:val="22"/>
                <w:szCs w:val="22"/>
              </w:rPr>
              <w:softHyphen/>
              <w:t>_____ 2024 г.</w:t>
            </w:r>
          </w:p>
          <w:p w14:paraId="4DF721BD" w14:textId="77777777" w:rsidR="00565DC2" w:rsidRPr="00324F66" w:rsidRDefault="00565DC2" w:rsidP="003C6F8D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bookmarkEnd w:id="1"/>
    </w:tbl>
    <w:p w14:paraId="60C630DE" w14:textId="77777777" w:rsidR="00565DC2" w:rsidRPr="00324F66" w:rsidRDefault="00565DC2" w:rsidP="00565DC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FC3C468" w14:textId="77777777" w:rsidR="00744C20" w:rsidRDefault="00744C20"/>
    <w:sectPr w:rsidR="00744C20" w:rsidSect="00565DC2">
      <w:pgSz w:w="12240" w:h="15840"/>
      <w:pgMar w:top="851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C2"/>
    <w:rsid w:val="00565DC2"/>
    <w:rsid w:val="00744C20"/>
    <w:rsid w:val="00D40FE0"/>
    <w:rsid w:val="00E118F7"/>
    <w:rsid w:val="00F4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A643"/>
  <w15:chartTrackingRefBased/>
  <w15:docId w15:val="{4457A4D8-EAA9-431A-8F69-82222621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18"/>
      <w:szCs w:val="1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DC2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65DC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14:ligatures w14:val="none"/>
    </w:rPr>
  </w:style>
  <w:style w:type="paragraph" w:customStyle="1" w:styleId="a4">
    <w:name w:val="Стиль"/>
    <w:basedOn w:val="a"/>
    <w:next w:val="a5"/>
    <w:uiPriority w:val="99"/>
    <w:unhideWhenUsed/>
    <w:rsid w:val="00565DC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65D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3063</Words>
  <Characters>17462</Characters>
  <Application>Microsoft Office Word</Application>
  <DocSecurity>0</DocSecurity>
  <Lines>145</Lines>
  <Paragraphs>40</Paragraphs>
  <ScaleCrop>false</ScaleCrop>
  <Company/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Дробышева</dc:creator>
  <cp:keywords/>
  <dc:description/>
  <cp:lastModifiedBy>Екатерина Дробышева</cp:lastModifiedBy>
  <cp:revision>1</cp:revision>
  <dcterms:created xsi:type="dcterms:W3CDTF">2024-03-13T07:16:00Z</dcterms:created>
  <dcterms:modified xsi:type="dcterms:W3CDTF">2024-03-13T07:17:00Z</dcterms:modified>
</cp:coreProperties>
</file>