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ДОГОВОРА НА ОКАЗАНИЕ АУДИТОРСКИХ УСЛУГ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96" w:rsidRDefault="00DD5696" w:rsidP="00DD569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№___</w:t>
      </w:r>
    </w:p>
    <w:p w:rsidR="00DD5696" w:rsidRDefault="00DD5696" w:rsidP="00DD569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оказание аудиторских услуг</w:t>
      </w:r>
    </w:p>
    <w:p w:rsidR="00DD5696" w:rsidRDefault="00DD5696" w:rsidP="00DD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5696" w:rsidRDefault="00DD5696" w:rsidP="00DD569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31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31E17">
        <w:rPr>
          <w:rFonts w:ascii="Times New Roman" w:hAnsi="Times New Roman"/>
          <w:sz w:val="26"/>
          <w:szCs w:val="26"/>
        </w:rPr>
        <w:t>Биробиджан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931E17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____» _______________ 2018 года</w:t>
      </w:r>
    </w:p>
    <w:p w:rsidR="00DD5696" w:rsidRDefault="00DD5696" w:rsidP="00DD569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D5696" w:rsidRDefault="00931E17" w:rsidP="00DD5696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Некоммерческая организация – Фонд «Микрокредитная компания Еврейской автономной области»,</w:t>
      </w:r>
      <w:r w:rsidR="00DD5696">
        <w:rPr>
          <w:sz w:val="26"/>
          <w:szCs w:val="26"/>
        </w:rPr>
        <w:t xml:space="preserve"> именуемая в дальнейшем Заказчик, в лице  генерального директора </w:t>
      </w:r>
      <w:r>
        <w:rPr>
          <w:sz w:val="26"/>
          <w:szCs w:val="26"/>
        </w:rPr>
        <w:t>Юркина Михаила Олеговича,</w:t>
      </w:r>
      <w:r w:rsidR="00DD5696">
        <w:rPr>
          <w:sz w:val="26"/>
          <w:szCs w:val="26"/>
        </w:rPr>
        <w:t xml:space="preserve"> действующего на основании Устава, с одной стороны и____________________________________________________________________</w:t>
      </w:r>
      <w:r>
        <w:rPr>
          <w:sz w:val="26"/>
          <w:szCs w:val="26"/>
        </w:rPr>
        <w:t>_</w:t>
      </w:r>
      <w:r w:rsidR="00DD5696">
        <w:rPr>
          <w:sz w:val="26"/>
          <w:szCs w:val="26"/>
        </w:rPr>
        <w:t>_, именуем___ в дальнейшем Исполните</w:t>
      </w:r>
      <w:r>
        <w:rPr>
          <w:sz w:val="26"/>
          <w:szCs w:val="26"/>
        </w:rPr>
        <w:t>ль, в лице ________</w:t>
      </w:r>
      <w:r w:rsidR="00DD5696">
        <w:rPr>
          <w:sz w:val="26"/>
          <w:szCs w:val="26"/>
        </w:rPr>
        <w:t>______________, действующего на основании______________________________, с другой стороны, вместе именуемые Стороны, заключили настоящий договор (далее – Договор) о следующем:</w:t>
      </w:r>
    </w:p>
    <w:p w:rsidR="00DD5696" w:rsidRDefault="00DD5696" w:rsidP="00DD5696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договора</w:t>
      </w:r>
    </w:p>
    <w:p w:rsidR="00DD5696" w:rsidRDefault="00DD5696" w:rsidP="00DD5696">
      <w:pPr>
        <w:spacing w:after="0" w:line="240" w:lineRule="auto"/>
      </w:pPr>
    </w:p>
    <w:p w:rsidR="00DD5696" w:rsidRDefault="00DD5696" w:rsidP="00931E1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поручает, а Исполнитель обязуется оказать услуги </w:t>
      </w:r>
      <w:proofErr w:type="gramStart"/>
      <w:r>
        <w:rPr>
          <w:sz w:val="26"/>
          <w:szCs w:val="26"/>
        </w:rPr>
        <w:t>по  проведению</w:t>
      </w:r>
      <w:proofErr w:type="gramEnd"/>
      <w:r>
        <w:rPr>
          <w:sz w:val="26"/>
          <w:szCs w:val="26"/>
        </w:rPr>
        <w:t xml:space="preserve"> аудита бухгалтерской (финансовой) отчетности </w:t>
      </w:r>
      <w:r w:rsidR="00931E17" w:rsidRPr="00931E17">
        <w:rPr>
          <w:sz w:val="26"/>
          <w:szCs w:val="26"/>
        </w:rPr>
        <w:t>Некоммерческ</w:t>
      </w:r>
      <w:r w:rsidR="00931E17">
        <w:rPr>
          <w:sz w:val="26"/>
          <w:szCs w:val="26"/>
        </w:rPr>
        <w:t>ой</w:t>
      </w:r>
      <w:r w:rsidR="00931E17" w:rsidRPr="00931E17">
        <w:rPr>
          <w:sz w:val="26"/>
          <w:szCs w:val="26"/>
        </w:rPr>
        <w:t xml:space="preserve"> организаци</w:t>
      </w:r>
      <w:r w:rsidR="00931E17">
        <w:rPr>
          <w:sz w:val="26"/>
          <w:szCs w:val="26"/>
        </w:rPr>
        <w:t>и</w:t>
      </w:r>
      <w:r w:rsidR="00931E17" w:rsidRPr="00931E17">
        <w:rPr>
          <w:sz w:val="26"/>
          <w:szCs w:val="26"/>
        </w:rPr>
        <w:t xml:space="preserve"> – Фонд «Микрокредитная компания Еврейской автономной области»</w:t>
      </w:r>
      <w:r>
        <w:rPr>
          <w:sz w:val="26"/>
          <w:szCs w:val="26"/>
        </w:rPr>
        <w:t xml:space="preserve"> за 201</w:t>
      </w:r>
      <w:r w:rsidR="00931E17">
        <w:rPr>
          <w:sz w:val="26"/>
          <w:szCs w:val="26"/>
        </w:rPr>
        <w:t>9</w:t>
      </w:r>
      <w:r>
        <w:rPr>
          <w:sz w:val="26"/>
          <w:szCs w:val="26"/>
        </w:rPr>
        <w:t xml:space="preserve"> год с целью выражения мнения о ее достоверности во всех существенных аспектах и на предмет её соответствия законодательству Российской Федерации при совершении финансово-хозяйственной деятельности (далее – аудит).</w:t>
      </w:r>
    </w:p>
    <w:p w:rsidR="00DD5696" w:rsidRDefault="00DD5696" w:rsidP="00DD5696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Мнение о достоверности и соответствии законодательству Российской Федерации, а также замечания и выводы излагаются Исполнителем в Аудиторском заключении.</w:t>
      </w:r>
    </w:p>
    <w:p w:rsidR="00DD5696" w:rsidRDefault="00DD5696" w:rsidP="00DD569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проведения проверки:</w:t>
      </w:r>
    </w:p>
    <w:p w:rsidR="00DD5696" w:rsidRDefault="00DD5696" w:rsidP="00DD569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 несет ответственность за достоверность предоставленных данных аналитического и синтетического учета, а также бухгалтерских форм отчетности, Исполнитель отвечает за обоснованность своего мнения о достоверности и соответствии бухгалтерской (финансовой) отчетности и анализа финансово-хозяйственной деятельности.</w:t>
      </w:r>
    </w:p>
    <w:p w:rsidR="00DD5696" w:rsidRDefault="00DD5696" w:rsidP="00DD569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выводы, замечания и рекомендации Исполнителя основываются на положениях законодательства Российской Федерации, а также на профессиональном опыте работы аудиторов Исполнителя. Заказчик самостоятельно принимает решение о целесообразности использования предложений и рекомендаций Исполнителя.</w:t>
      </w:r>
    </w:p>
    <w:p w:rsidR="00DD5696" w:rsidRDefault="00DD5696" w:rsidP="00DD5696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Услуги по проведению аудита должны быть оказаны лично Исполнителем.</w:t>
      </w:r>
    </w:p>
    <w:p w:rsidR="00DD5696" w:rsidRDefault="00DD5696" w:rsidP="00DD56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5696" w:rsidRDefault="00DD5696" w:rsidP="00DD569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и сроки оказания услуг</w:t>
      </w:r>
    </w:p>
    <w:p w:rsidR="00DD5696" w:rsidRDefault="00DD5696" w:rsidP="00DD569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D5696" w:rsidRDefault="00DD5696" w:rsidP="00DD5696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Аудит, предусмотренный пунктом 1.1. настоящего Договора, будет проводиться в соответствии с требованиями действующего законодательства, регулирующего аудиторскую деятельность в Российской Федерации.</w:t>
      </w:r>
    </w:p>
    <w:p w:rsidR="00DD5696" w:rsidRDefault="00DD5696" w:rsidP="00DD5696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Результатом аудита будет являться Аудиторское заключение – </w:t>
      </w:r>
      <w:r>
        <w:rPr>
          <w:spacing w:val="-1"/>
          <w:sz w:val="26"/>
          <w:szCs w:val="26"/>
        </w:rPr>
        <w:lastRenderedPageBreak/>
        <w:t xml:space="preserve">официальный документ, предназначенный для пользователей бухгалтерской (финансовой) отчетности </w:t>
      </w:r>
      <w:proofErr w:type="spellStart"/>
      <w:r>
        <w:rPr>
          <w:spacing w:val="-1"/>
          <w:sz w:val="26"/>
          <w:szCs w:val="26"/>
        </w:rPr>
        <w:t>аудируемого</w:t>
      </w:r>
      <w:proofErr w:type="spellEnd"/>
      <w:r>
        <w:rPr>
          <w:spacing w:val="-1"/>
          <w:sz w:val="26"/>
          <w:szCs w:val="26"/>
        </w:rPr>
        <w:t xml:space="preserve"> лица, содержащий выраженное в установленной форме мнение аудиторской организации о достоверности бухгалтерской (финансовой) отчетности </w:t>
      </w:r>
      <w:proofErr w:type="spellStart"/>
      <w:r>
        <w:rPr>
          <w:spacing w:val="-1"/>
          <w:sz w:val="26"/>
          <w:szCs w:val="26"/>
        </w:rPr>
        <w:t>аудируемого</w:t>
      </w:r>
      <w:proofErr w:type="spellEnd"/>
      <w:r>
        <w:rPr>
          <w:spacing w:val="-1"/>
          <w:sz w:val="26"/>
          <w:szCs w:val="26"/>
        </w:rPr>
        <w:t xml:space="preserve"> лица.</w:t>
      </w:r>
    </w:p>
    <w:p w:rsidR="00DD5696" w:rsidRDefault="00DD5696" w:rsidP="00DD5696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Аудиторское заключение по форме, содержанию, порядку подписания и представления должно соответствовать федеральным стандартам аудиторской деятельности.</w:t>
      </w:r>
    </w:p>
    <w:p w:rsidR="00DD5696" w:rsidRDefault="00DD5696" w:rsidP="00DD569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 бухгалтерской (финансовой) отчетности за 201</w:t>
      </w:r>
      <w:r w:rsidR="00931E17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проводится Исполнителем </w:t>
      </w:r>
      <w:r>
        <w:rPr>
          <w:spacing w:val="-1"/>
          <w:sz w:val="26"/>
          <w:szCs w:val="26"/>
        </w:rPr>
        <w:t xml:space="preserve">по Договору </w:t>
      </w:r>
      <w:r>
        <w:rPr>
          <w:sz w:val="26"/>
          <w:szCs w:val="26"/>
        </w:rPr>
        <w:t>с представлением письменной информации (отчета аудитора) и выдачей Аудиторского заключения за 201</w:t>
      </w:r>
      <w:r w:rsidR="00931E17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срок до 20 марта 20</w:t>
      </w:r>
      <w:r w:rsidR="00931E17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DD5696" w:rsidRDefault="00DD5696" w:rsidP="00DD5696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b w:val="0"/>
          <w:bCs w:val="0"/>
          <w:i w:val="0"/>
          <w:iCs w:val="0"/>
          <w:spacing w:val="-1"/>
          <w:sz w:val="26"/>
          <w:szCs w:val="26"/>
        </w:rPr>
        <w:t>Аудиторская проверка за проверяемый отчетный год должна быть завершена в срок до 20 марта года, следующего за отчетным.</w:t>
      </w:r>
    </w:p>
    <w:p w:rsidR="00DD5696" w:rsidRDefault="00DD5696" w:rsidP="00DD5696">
      <w:pPr>
        <w:pStyle w:val="2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</w:p>
    <w:p w:rsidR="00DD5696" w:rsidRDefault="00DD5696" w:rsidP="00DD5696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Стоимость услуг по Договору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услуг по Договору составляет ___________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. Стоимость услуг отражается в Акте об оказании услуг, составляемом по итогам проведенной проверки. Указанный акт является неотъемлемой частью Договора.</w:t>
      </w:r>
    </w:p>
    <w:p w:rsidR="00DD5696" w:rsidRDefault="00DD5696" w:rsidP="00DD5696">
      <w:pPr>
        <w:pStyle w:val="2"/>
        <w:tabs>
          <w:tab w:val="left" w:pos="0"/>
        </w:tabs>
        <w:spacing w:before="0" w:after="0"/>
        <w:ind w:left="450"/>
        <w:rPr>
          <w:rFonts w:ascii="Times New Roman" w:hAnsi="Times New Roman"/>
          <w:i w:val="0"/>
          <w:sz w:val="26"/>
          <w:szCs w:val="26"/>
        </w:rPr>
      </w:pPr>
    </w:p>
    <w:p w:rsidR="00DD5696" w:rsidRDefault="00DD5696" w:rsidP="00DD5696">
      <w:pPr>
        <w:pStyle w:val="2"/>
        <w:numPr>
          <w:ilvl w:val="0"/>
          <w:numId w:val="4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Порядок расчетов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производится на расчетный счет Исполнителя в следующем порядке: </w:t>
      </w:r>
    </w:p>
    <w:p w:rsidR="00DD5696" w:rsidRDefault="00DD5696" w:rsidP="00DD5696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авансовый платеж в сумме _______________ рублей, что составляет 40% </w:t>
      </w:r>
      <w:proofErr w:type="gramStart"/>
      <w:r>
        <w:rPr>
          <w:sz w:val="26"/>
          <w:szCs w:val="26"/>
        </w:rPr>
        <w:t>от  стоимости</w:t>
      </w:r>
      <w:proofErr w:type="gramEnd"/>
      <w:r>
        <w:rPr>
          <w:sz w:val="26"/>
          <w:szCs w:val="26"/>
        </w:rPr>
        <w:t xml:space="preserve"> аудиторских услуг по Договору, в течение 5 банковских дней с даты заключения договора; </w:t>
      </w:r>
    </w:p>
    <w:p w:rsidR="00DD5696" w:rsidRDefault="00DD5696" w:rsidP="00DD5696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окончательный расчет в размере_______ рублей, что составляет 60 % от стоимости аудиторских услуг за 201</w:t>
      </w:r>
      <w:r w:rsidR="00931E17">
        <w:rPr>
          <w:sz w:val="26"/>
          <w:szCs w:val="26"/>
        </w:rPr>
        <w:t>9</w:t>
      </w:r>
      <w:r>
        <w:rPr>
          <w:sz w:val="26"/>
          <w:szCs w:val="26"/>
        </w:rPr>
        <w:t xml:space="preserve"> год, осуществляется в течение 5-ти банковских дней после получения Аудиторского заключения и аудиторского отчета о результатах проверки финансово-хозяйственной деятельности Заказчика и подписания Акта об оказании услуг.</w:t>
      </w:r>
    </w:p>
    <w:p w:rsidR="00DD5696" w:rsidRDefault="00DD5696" w:rsidP="00DD569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по истечении 10-ти (Десяти) дней с момента получения Аудиторского заключения, аудиторского отчета и  Акта об оказании услуг Заказчик не подписал его или не представил Исполнителю обоснованный отказ, то услуги считаются оказанными, и подлежат оплате в бесспорном порядке.</w:t>
      </w:r>
    </w:p>
    <w:p w:rsidR="00DD5696" w:rsidRDefault="00DD5696" w:rsidP="00DD5696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Заказчик принимает на себя следующие обязательства: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начала аудита обеспечить выполнение предусмотренных законодательством Российской Федерации работ по составлению бухгалтерской (финансовой) отчетности, включая проведение инвентаризации статей баланса на конец отчетного года, выверку соответствующих взаиморасчетов, а также подготовить и представить информацию и дополнительные расчеты, предварительно запрашиваемые Исполнителем, если осуществление таких действий предусмотрено действующим законодательством.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информацию и документацию, необходимую для оказания услуг по Договору, в сроки, установленные Исполнителем.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Своевременно сообщать Исполнителю обо всех изменениях, касающихся информации и документации, необходимой для оказания услуг.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проверки обеспечить Исполнителю условия, для надлежащего исполнения им принятых на себя обязательств по Договору:  рабочее помещение, доступ к копировально-множительной технике, доступ к средствам связи.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Оплатить услуги Исполнителя в соответствии с условиями п. 4.1. Договора.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 устранять выявленные Исполнителем в ходе аудиторской проверки нарушения порядка ведения бухгалтерского учета и составления отчетности.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режим конфиденциальности, установленный разделом 7 настоящего Договора.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Подписать Акты об оказании услуг, являющиеся неотъемлемой частью Договора.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содействие Исполнителю в своевременном и полном проведении аудиторской проверки.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по письменному или устному запросу Исполнителя исчерпывающие разъяснения и подтверждения в письменной и устной формах.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необходимые для проведения аудиторской проверки сведения у третьих лиц.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принимать каких бы то ни было действий в целях ограничения круга вопросов, подлежащих выяснению при проведении аудиторской проверки.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оказывать давление на Исполнителя в любой форме с целью изменения его мнения о достоверности бухгалтерской (финансовой) отчетности Заказчика. 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Заказчик имеет право: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Получать от Исполнителя информацию о требованиях законодательства, касающихся проведения аудита, а также о нормативных актах, на которых основываются замечания и выводы Исполнителя.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Обратиться к Исполнителю за помощью в исправлении ошибок, несоответствий и нарушений в бухгалтерском учете и отчетности.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Исполнитель принимает на себя следующие обязательства: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представленных Заказчиком устных и письменных запросов,  документов и информации оказать услуги, предусмотренные настоящим Договором.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 и добросовестно оказать Заказчику услуги, используя для этого все имеющиеся в распоряжении Исполнителя трудовые и технические ресурсы.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Проверять в полном объеме документацию, связанную с бухгалтерской (финансовой) отчетностью и анализом финансово-хозяйственной деятельности Заказчика, а также наличие любого имущества, учтенного в этой документации.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актах, на которых основываются замечания и выводы Исполнителя.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Информировать Заказчика обо всех трудностях, которые могут повлечь неисполнение обязательств, принятых на себя Исполнителем.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аудиторской проверки соблюдать требования законодательства Российской Федерации.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режим конфиденциальности, установленный разделом 7 настоящего Договора.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сроки, установленные договором, представить Заказчику аудиторский отчет и аудиторское заключение  в соответствии с требованиями действующего законодательства Российской Федерации.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Исполнитель имеет право: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Самостоятельно определять формы и методы проведения аудиторской проверки.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Получать разъяснения в письменной и устной форме по возникшим в ходе аудита вопросам.</w:t>
      </w:r>
    </w:p>
    <w:p w:rsidR="00DD5696" w:rsidRDefault="00DD5696" w:rsidP="00DD5696">
      <w:pPr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Получать по письменному или устному запросу необходимую для осуществления аудиторской проверки информацию и документацию от третьих лиц. </w:t>
      </w:r>
    </w:p>
    <w:p w:rsidR="00DD5696" w:rsidRDefault="00DD5696" w:rsidP="00DD5696">
      <w:pPr>
        <w:tabs>
          <w:tab w:val="left" w:pos="1560"/>
        </w:tabs>
        <w:spacing w:after="0" w:line="240" w:lineRule="auto"/>
        <w:ind w:left="708"/>
        <w:jc w:val="both"/>
        <w:rPr>
          <w:rFonts w:ascii="Times New Roman" w:hAnsi="Times New Roman"/>
          <w:b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сдачи-приемки оказанных услуг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 xml:space="preserve">Представление Аудиторского заключения по результатам проведения аудита (не менее чем в трех экземплярах) и аудиторского отчета (Один экземпляр) осуществляется путем передачи такого Заключения и отчета  непосредственно Заказчику. Аудиторское заключение и (или) аудиторский отчет направляются Заказчику с сопроводительным письмом Исполнителя. 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 xml:space="preserve"> Услуги по аудиторской проверке бухгалтерской (финансовой) отчетности Заказчика считаются оказанными с момента подписания обеими Сторонами Акта об оказании услуг по Договору. Указанный акт не может быть подписан Заказчиком ранее получения им Аудиторского заключения за соответствующий год (с учетом требования п.6.1. об </w:t>
      </w:r>
      <w:proofErr w:type="spellStart"/>
      <w:r>
        <w:rPr>
          <w:szCs w:val="26"/>
        </w:rPr>
        <w:t>экземплярности</w:t>
      </w:r>
      <w:proofErr w:type="spellEnd"/>
      <w:r>
        <w:rPr>
          <w:szCs w:val="26"/>
        </w:rPr>
        <w:t xml:space="preserve"> Аудиторского заключения).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Заказчиком осуществляется приемка оказанных услуг на соответствие их объема и качества требованиям, установленным в Договоре. Приемка осуществляется уполномоченным представителем Заказчика, который сопоставляет объем оказанных услуг с техническим заданием и условиями Договора.</w:t>
      </w:r>
    </w:p>
    <w:p w:rsidR="00DD5696" w:rsidRDefault="00DD5696" w:rsidP="00DD5696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Конфиденциальность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Документы и материалы, связанные с предметом Договора, и сведения, содержащиеся в них, признаются Сторонами строго конфиденциальными и рассматриваются как коммерческая тайна Сторон, за исключением случаев, установленных законодательством Российской Федерации.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специалистов, которые должны быть допущены к ней в силу профессиональных обязанностей.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 xml:space="preserve">Исполнитель обеспечивает сохранность сведений и документов, полученных и (или) составленных им при аудите, а также неразглашение их </w:t>
      </w:r>
      <w:r>
        <w:rPr>
          <w:szCs w:val="26"/>
        </w:rPr>
        <w:lastRenderedPageBreak/>
        <w:t xml:space="preserve">содержания без согласия Заказчика, за исключением случаев, установленных законодательством Российской Федерации и Договором. </w:t>
      </w:r>
    </w:p>
    <w:p w:rsidR="00DD5696" w:rsidRDefault="00DD5696" w:rsidP="00DD5696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Разрешение споров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В случае возникновения споров, требований или разногласий по вопросам, предусмотренным настоящим Договором или в связи с ним, Стороны примут меры к разрешению их путем переговоров.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 xml:space="preserve">Все споры, разногласия или требования, возникшие из </w:t>
      </w:r>
      <w:r w:rsidR="00931E17">
        <w:rPr>
          <w:szCs w:val="26"/>
        </w:rPr>
        <w:t>настоящего Договора</w:t>
      </w:r>
      <w:r>
        <w:rPr>
          <w:szCs w:val="26"/>
        </w:rPr>
        <w:t xml:space="preserve"> или в связи с ним, в том числе касающиеся его исполнения, нарушения, прекращения или недействительности, </w:t>
      </w:r>
      <w:proofErr w:type="gramStart"/>
      <w:r>
        <w:rPr>
          <w:szCs w:val="26"/>
        </w:rPr>
        <w:t>подлежат  разрешению</w:t>
      </w:r>
      <w:proofErr w:type="gramEnd"/>
      <w:r>
        <w:rPr>
          <w:szCs w:val="26"/>
        </w:rPr>
        <w:t xml:space="preserve"> в Арбитражном суде </w:t>
      </w:r>
      <w:r w:rsidR="00931E17">
        <w:rPr>
          <w:szCs w:val="26"/>
        </w:rPr>
        <w:t>Еврейской автономной области</w:t>
      </w:r>
      <w:r>
        <w:rPr>
          <w:szCs w:val="26"/>
        </w:rPr>
        <w:t>.</w:t>
      </w:r>
    </w:p>
    <w:p w:rsidR="00DD5696" w:rsidRDefault="00DD5696" w:rsidP="00DD5696">
      <w:pPr>
        <w:pStyle w:val="1"/>
        <w:tabs>
          <w:tab w:val="left" w:pos="0"/>
        </w:tabs>
        <w:spacing w:before="0" w:after="0"/>
        <w:ind w:left="675"/>
        <w:rPr>
          <w:rFonts w:ascii="Times New Roman" w:hAnsi="Times New Roman"/>
          <w:sz w:val="26"/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DD5696" w:rsidRDefault="00DD5696" w:rsidP="00DD5696">
      <w:pPr>
        <w:spacing w:after="0" w:line="240" w:lineRule="auto"/>
      </w:pP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Договор вступает в силу с момента его подписания Сторонами и действует до момента выполнения Сторонами своих обязательств по Договору.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Договор может быть изменен или дополнен по обоюдному соглашению сторон путем оформления дополнительного соглашения.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Взаимоотношения сторон, не урегулированные в тексте Договора, регламентируются действующим законодательством.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Расторжение настоящего Договора допускается исключительно по соглашению Сторон или по решению суда по основаниям, предусмотренным гражданским законодательством.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 xml:space="preserve">Стороны обязаны не позднее пятидневного срока письменно сообщать о любом изменении своих реквизитов, а также о смене руководителя. </w:t>
      </w:r>
    </w:p>
    <w:p w:rsidR="00DD5696" w:rsidRDefault="00DD5696" w:rsidP="00DD5696">
      <w:pPr>
        <w:pStyle w:val="21"/>
        <w:numPr>
          <w:ilvl w:val="1"/>
          <w:numId w:val="5"/>
        </w:numPr>
        <w:spacing w:line="240" w:lineRule="auto"/>
        <w:ind w:left="0" w:firstLine="709"/>
        <w:rPr>
          <w:szCs w:val="26"/>
        </w:rPr>
      </w:pPr>
      <w:r>
        <w:rPr>
          <w:szCs w:val="26"/>
        </w:rPr>
        <w:t>Договор составлен в 2 (двух) экземплярах, имеющих равную юридическую силу, по одному экземпляру для сторон.</w:t>
      </w:r>
    </w:p>
    <w:p w:rsidR="00DD5696" w:rsidRDefault="00DD5696" w:rsidP="00DD5696">
      <w:pPr>
        <w:pStyle w:val="21"/>
        <w:spacing w:line="240" w:lineRule="auto"/>
        <w:ind w:firstLine="0"/>
        <w:rPr>
          <w:szCs w:val="26"/>
        </w:rPr>
      </w:pPr>
    </w:p>
    <w:p w:rsidR="00DD5696" w:rsidRDefault="00DD5696" w:rsidP="00DD5696">
      <w:pPr>
        <w:pStyle w:val="21"/>
        <w:spacing w:line="240" w:lineRule="auto"/>
        <w:ind w:firstLine="0"/>
        <w:rPr>
          <w:szCs w:val="26"/>
        </w:rPr>
      </w:pPr>
    </w:p>
    <w:p w:rsidR="00DD5696" w:rsidRDefault="00DD5696" w:rsidP="00DD5696">
      <w:pPr>
        <w:pStyle w:val="1"/>
        <w:numPr>
          <w:ilvl w:val="0"/>
          <w:numId w:val="5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и подписи сторон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283"/>
        <w:gridCol w:w="5245"/>
      </w:tblGrid>
      <w:tr w:rsidR="00931E17" w:rsidRPr="00DE6CED" w:rsidTr="00414226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Pr="008A0138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3" w:type="dxa"/>
          </w:tcPr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8A0138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931E17" w:rsidRPr="00DE6CED" w:rsidTr="00414226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b/>
                <w:szCs w:val="24"/>
              </w:rPr>
              <w:t>НКО Фонд «Микрокредитная компания Еврейской автономной области»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ИНН 7901550330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КПП 790101001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679000, ЕАО, г. Биробиджан, пр-т 60-летия СССР, 12 «а»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р/с 40701810870120000003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в Дальневосточный банк ПАО, Сбербанк России г. Хабаровск</w:t>
            </w:r>
          </w:p>
          <w:p w:rsidR="00931E17" w:rsidRPr="008A0138" w:rsidRDefault="00931E17" w:rsidP="00931E17">
            <w:pPr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0138">
              <w:rPr>
                <w:rFonts w:ascii="Times New Roman" w:hAnsi="Times New Roman"/>
                <w:szCs w:val="24"/>
              </w:rPr>
              <w:t>к/с 30101810600000000608</w:t>
            </w:r>
          </w:p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  <w:r w:rsidRPr="008A0138">
              <w:rPr>
                <w:sz w:val="24"/>
                <w:szCs w:val="24"/>
              </w:rPr>
              <w:t>БИК 040813608</w:t>
            </w:r>
          </w:p>
        </w:tc>
        <w:tc>
          <w:tcPr>
            <w:tcW w:w="283" w:type="dxa"/>
          </w:tcPr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31E17" w:rsidRPr="008A0138" w:rsidRDefault="00931E17" w:rsidP="00931E17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</w:tr>
      <w:tr w:rsidR="00931E17" w:rsidRPr="00EF025D" w:rsidTr="00414226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931E17" w:rsidRPr="00DE6CED" w:rsidRDefault="00931E17" w:rsidP="00414226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  <w:p w:rsidR="00931E17" w:rsidRPr="00DE6CED" w:rsidRDefault="00931E17" w:rsidP="00414226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  <w:r w:rsidRPr="00DE6CED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М.О. Юркин</w:t>
            </w:r>
            <w:r>
              <w:rPr>
                <w:b/>
                <w:sz w:val="24"/>
                <w:szCs w:val="24"/>
              </w:rPr>
              <w:t>/</w:t>
            </w:r>
          </w:p>
          <w:p w:rsidR="00931E17" w:rsidRPr="00DE6CED" w:rsidRDefault="00931E17" w:rsidP="00414226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  <w:r w:rsidRPr="00DE6CED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931E17" w:rsidRPr="00DE6CED" w:rsidRDefault="00931E17" w:rsidP="00414226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31E17" w:rsidRPr="00DE6CED" w:rsidRDefault="00931E17" w:rsidP="00414226">
            <w:pPr>
              <w:pStyle w:val="Iauiue"/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  <w:p w:rsidR="00931E17" w:rsidRPr="00EF025D" w:rsidRDefault="00931E17" w:rsidP="00414226">
            <w:pPr>
              <w:pStyle w:val="Iauiue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</w:tbl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DD5696" w:rsidRDefault="00DD5696" w:rsidP="00DD5696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1  к  Договору </w:t>
      </w:r>
    </w:p>
    <w:p w:rsidR="00DD5696" w:rsidRDefault="00DD5696" w:rsidP="00DD5696">
      <w:pPr>
        <w:spacing w:after="0" w:line="240" w:lineRule="auto"/>
        <w:jc w:val="righ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об </w:t>
      </w:r>
      <w:r w:rsidR="00931E17">
        <w:rPr>
          <w:rFonts w:ascii="Times New Roman" w:eastAsia="Lucida Sans Unicode" w:hAnsi="Times New Roman"/>
          <w:sz w:val="24"/>
          <w:szCs w:val="24"/>
        </w:rPr>
        <w:t>оказании аудиторских</w:t>
      </w:r>
      <w:r>
        <w:rPr>
          <w:rFonts w:ascii="Times New Roman" w:eastAsia="Lucida Sans Unicode" w:hAnsi="Times New Roman"/>
          <w:sz w:val="24"/>
          <w:szCs w:val="24"/>
        </w:rPr>
        <w:t xml:space="preserve"> услуг</w:t>
      </w: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ОБЯЗАТЕЛЬНОГО АУДИТА</w:t>
      </w:r>
    </w:p>
    <w:p w:rsidR="00DD5696" w:rsidRDefault="00931E17" w:rsidP="00DD56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E17">
        <w:rPr>
          <w:rFonts w:ascii="Times New Roman" w:hAnsi="Times New Roman"/>
          <w:b/>
          <w:bCs/>
          <w:sz w:val="24"/>
          <w:szCs w:val="24"/>
        </w:rPr>
        <w:t>Некоммерческой организации – Фонд «Микрокредитная компания Еврейской автономной области»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D5696" w:rsidRDefault="00DD5696" w:rsidP="00DD5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Техническое задание на проведение обязательного аудита </w:t>
      </w:r>
      <w:r w:rsidR="00931E17" w:rsidRPr="00931E17">
        <w:rPr>
          <w:rFonts w:ascii="Times New Roman" w:hAnsi="Times New Roman"/>
          <w:sz w:val="24"/>
          <w:szCs w:val="24"/>
        </w:rPr>
        <w:t xml:space="preserve">Некоммерческой организации – Фонд «Микрокредитная компания Еврейской автономной области» </w:t>
      </w:r>
      <w:r>
        <w:rPr>
          <w:rFonts w:ascii="Times New Roman" w:hAnsi="Times New Roman"/>
          <w:bCs/>
          <w:sz w:val="24"/>
          <w:szCs w:val="24"/>
        </w:rPr>
        <w:t>(далее – Фонд) разработано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№ 307-ФЗ от 30.12.2008 года «Об аудиторской деятельности» и определяет состав задач и подзадач, необходимых для выполнения аудитором в процессе осуществления обязательного аудита.</w:t>
      </w:r>
    </w:p>
    <w:p w:rsidR="00DD5696" w:rsidRDefault="00DD5696" w:rsidP="00DD5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обязательного аудита </w:t>
      </w:r>
      <w:r>
        <w:rPr>
          <w:rFonts w:ascii="Times New Roman" w:hAnsi="Times New Roman"/>
          <w:bCs/>
          <w:sz w:val="24"/>
          <w:szCs w:val="24"/>
        </w:rPr>
        <w:t xml:space="preserve">Фонда </w:t>
      </w:r>
      <w:r>
        <w:rPr>
          <w:rFonts w:ascii="Times New Roman" w:hAnsi="Times New Roman"/>
          <w:sz w:val="24"/>
          <w:szCs w:val="24"/>
        </w:rPr>
        <w:t>является выражение мнения аудитора о достоверности его бухгалтерской (финансовой) отчетности, соответствие финансовых результатов деятельности Фонда и движения денежных средств за 201</w:t>
      </w:r>
      <w:r w:rsidR="00931E1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правилам составления бухгалтерской отчетности, установленных законодательством Российской Федерации, в том числе:</w:t>
      </w:r>
    </w:p>
    <w:p w:rsidR="00DD5696" w:rsidRDefault="00DD5696" w:rsidP="00931E17">
      <w:pPr>
        <w:pStyle w:val="a5"/>
        <w:numPr>
          <w:ilvl w:val="0"/>
          <w:numId w:val="6"/>
        </w:numPr>
        <w:tabs>
          <w:tab w:val="left" w:pos="983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6 декабря 2011 года №402-ФЗ «О бухгалтерском учете»;</w:t>
      </w:r>
    </w:p>
    <w:p w:rsidR="00DD5696" w:rsidRDefault="00DD5696" w:rsidP="00931E17">
      <w:pPr>
        <w:pStyle w:val="a5"/>
        <w:numPr>
          <w:ilvl w:val="0"/>
          <w:numId w:val="6"/>
        </w:numPr>
        <w:tabs>
          <w:tab w:val="left" w:pos="9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Банка России от 25 октября 2017 г. № 612-П «О порядке отражения на счетах бухгалтерского учета объектов бухгалтерского учета </w:t>
      </w:r>
      <w:proofErr w:type="spellStart"/>
      <w:r>
        <w:rPr>
          <w:sz w:val="24"/>
          <w:szCs w:val="24"/>
        </w:rPr>
        <w:t>некредитными</w:t>
      </w:r>
      <w:proofErr w:type="spellEnd"/>
      <w:r>
        <w:rPr>
          <w:sz w:val="24"/>
          <w:szCs w:val="24"/>
        </w:rPr>
        <w:t xml:space="preserve"> финансовыми организациями»;</w:t>
      </w:r>
    </w:p>
    <w:p w:rsidR="00DD5696" w:rsidRDefault="00DD5696" w:rsidP="00931E17">
      <w:pPr>
        <w:pStyle w:val="a5"/>
        <w:numPr>
          <w:ilvl w:val="0"/>
          <w:numId w:val="6"/>
        </w:numPr>
        <w:tabs>
          <w:tab w:val="left" w:pos="9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Банка России от 25 октября 2017 г. N 613-П «О формах раскрытия информации в бухгалтерской (финансовой) отчетности </w:t>
      </w:r>
      <w:proofErr w:type="spellStart"/>
      <w:r>
        <w:rPr>
          <w:sz w:val="24"/>
          <w:szCs w:val="24"/>
        </w:rPr>
        <w:t>некредитных</w:t>
      </w:r>
      <w:proofErr w:type="spellEnd"/>
      <w:r>
        <w:rPr>
          <w:sz w:val="24"/>
          <w:szCs w:val="24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отчетности»;</w:t>
      </w:r>
    </w:p>
    <w:p w:rsidR="00DD5696" w:rsidRDefault="00DD5696" w:rsidP="00931E17">
      <w:pPr>
        <w:pStyle w:val="a5"/>
        <w:numPr>
          <w:ilvl w:val="0"/>
          <w:numId w:val="6"/>
        </w:numPr>
        <w:tabs>
          <w:tab w:val="left" w:pos="9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Банка России от 2 сентября 2015 г. N 486-П «О Плане счетов бухгалтерского учета в </w:t>
      </w:r>
      <w:proofErr w:type="spellStart"/>
      <w:r>
        <w:rPr>
          <w:sz w:val="24"/>
          <w:szCs w:val="24"/>
        </w:rPr>
        <w:t>некредитных</w:t>
      </w:r>
      <w:proofErr w:type="spellEnd"/>
      <w:r>
        <w:rPr>
          <w:sz w:val="24"/>
          <w:szCs w:val="24"/>
        </w:rPr>
        <w:t xml:space="preserve"> финансовых организациях и порядке его применения».</w:t>
      </w:r>
    </w:p>
    <w:p w:rsidR="00DD5696" w:rsidRDefault="00DD5696" w:rsidP="00DD5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5696" w:rsidRDefault="00DD5696" w:rsidP="00DD56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аудита </w:t>
      </w:r>
      <w:r w:rsidR="00931E17" w:rsidRPr="00931E17">
        <w:rPr>
          <w:rFonts w:ascii="Times New Roman" w:hAnsi="Times New Roman"/>
          <w:b/>
          <w:sz w:val="24"/>
          <w:szCs w:val="24"/>
        </w:rPr>
        <w:t>Некоммерческой организации – Фонд «Микрокредитная компания Еврейской автономной области»</w:t>
      </w:r>
    </w:p>
    <w:p w:rsidR="00DD5696" w:rsidRDefault="00DD5696" w:rsidP="00DD5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Задачи аудита </w:t>
      </w:r>
      <w:r>
        <w:rPr>
          <w:rFonts w:ascii="Times New Roman" w:hAnsi="Times New Roman"/>
          <w:bCs/>
          <w:sz w:val="24"/>
          <w:szCs w:val="24"/>
        </w:rPr>
        <w:t xml:space="preserve">Фонда </w:t>
      </w:r>
      <w:r>
        <w:rPr>
          <w:rFonts w:ascii="Times New Roman" w:hAnsi="Times New Roman"/>
          <w:sz w:val="24"/>
          <w:szCs w:val="24"/>
        </w:rPr>
        <w:t>представлены в Таблице 1.</w:t>
      </w:r>
    </w:p>
    <w:p w:rsidR="00DD5696" w:rsidRDefault="00DD5696" w:rsidP="00DD569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694"/>
        <w:gridCol w:w="5635"/>
      </w:tblGrid>
      <w:tr w:rsidR="00DD5696" w:rsidTr="00DD56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задачи</w:t>
            </w:r>
          </w:p>
        </w:tc>
      </w:tr>
      <w:tr w:rsidR="00DD5696" w:rsidTr="00DD56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учредительных документов для целей бухгалтерского учета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6" w:rsidRDefault="00DD5696" w:rsidP="00ED0221">
            <w:pPr>
              <w:pStyle w:val="a5"/>
              <w:numPr>
                <w:ilvl w:val="1"/>
                <w:numId w:val="7"/>
              </w:numPr>
              <w:tabs>
                <w:tab w:val="left" w:pos="983"/>
              </w:tabs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устава Фонда действующему законодательству;</w:t>
            </w:r>
          </w:p>
          <w:p w:rsidR="00DD5696" w:rsidRDefault="00DD5696" w:rsidP="00ED0221">
            <w:pPr>
              <w:pStyle w:val="a5"/>
              <w:numPr>
                <w:ilvl w:val="1"/>
                <w:numId w:val="7"/>
              </w:numPr>
              <w:tabs>
                <w:tab w:val="left" w:pos="983"/>
              </w:tabs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трудовых договоров с руководителем Фонда и главным бухгалтером и соответствие их содержания действующему законодательству;</w:t>
            </w:r>
          </w:p>
          <w:p w:rsidR="00DD5696" w:rsidRDefault="00DD5696" w:rsidP="00ED0221">
            <w:pPr>
              <w:pStyle w:val="a5"/>
              <w:numPr>
                <w:ilvl w:val="1"/>
                <w:numId w:val="7"/>
              </w:numPr>
              <w:tabs>
                <w:tab w:val="left" w:pos="983"/>
              </w:tabs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фактических видов деятельности, видам деятельности, предусмотренным уставом Фонда;</w:t>
            </w:r>
          </w:p>
          <w:p w:rsidR="00DD5696" w:rsidRDefault="00DD5696" w:rsidP="00ED0221">
            <w:pPr>
              <w:pStyle w:val="a5"/>
              <w:numPr>
                <w:ilvl w:val="1"/>
                <w:numId w:val="7"/>
              </w:numPr>
              <w:tabs>
                <w:tab w:val="left" w:pos="983"/>
              </w:tabs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правильность регистрации (перерегистрации) Фонда в органах государственной власти и управления (Минюст, налоговые органы, Госкомстат, Пенсионный фонд </w:t>
            </w:r>
            <w:r>
              <w:rPr>
                <w:sz w:val="24"/>
                <w:szCs w:val="24"/>
              </w:rPr>
              <w:lastRenderedPageBreak/>
              <w:t>и т.д.);</w:t>
            </w:r>
          </w:p>
          <w:p w:rsidR="00DD5696" w:rsidRDefault="00DD5696" w:rsidP="00ED0221">
            <w:pPr>
              <w:pStyle w:val="a5"/>
              <w:numPr>
                <w:ilvl w:val="1"/>
                <w:numId w:val="7"/>
              </w:numPr>
              <w:ind w:left="175" w:firstLine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соответствие организационной структуры Фонда целям и задачам, установленным уставом.</w:t>
            </w:r>
          </w:p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DD5696" w:rsidTr="00DD56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учетной политики для целей бухгалтерского учета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6" w:rsidRDefault="00DD5696" w:rsidP="00ED0221">
            <w:pPr>
              <w:pStyle w:val="a5"/>
              <w:numPr>
                <w:ilvl w:val="1"/>
                <w:numId w:val="8"/>
              </w:numPr>
              <w:tabs>
                <w:tab w:val="left" w:pos="983"/>
              </w:tabs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и полноту состава и содержания учетной политики на предмет соответствия общим принципам и нормативам бухгалтерского учета, регламентированными законодательством РФ:</w:t>
            </w:r>
          </w:p>
          <w:p w:rsidR="00DD5696" w:rsidRDefault="00DD5696">
            <w:pPr>
              <w:pStyle w:val="a5"/>
              <w:tabs>
                <w:tab w:val="left" w:pos="983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Федеральным законом от 6 декабря 2011 года №402-ФЗ «О бухгалтерском учете»;</w:t>
            </w:r>
          </w:p>
          <w:p w:rsidR="00DD5696" w:rsidRDefault="00DD5696">
            <w:pPr>
              <w:pStyle w:val="a5"/>
              <w:tabs>
                <w:tab w:val="left" w:pos="983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Положением Банка России от 25 октября 2017 г. № 612-П «О порядке отражения на счетах бухгалтерского учета объектов бухгалтерского учета </w:t>
            </w:r>
            <w:proofErr w:type="spellStart"/>
            <w:r>
              <w:rPr>
                <w:sz w:val="24"/>
                <w:szCs w:val="24"/>
              </w:rPr>
              <w:t>некредитными</w:t>
            </w:r>
            <w:proofErr w:type="spellEnd"/>
            <w:r>
              <w:rPr>
                <w:sz w:val="24"/>
                <w:szCs w:val="24"/>
              </w:rPr>
              <w:t xml:space="preserve"> финансовыми организациями»;</w:t>
            </w:r>
          </w:p>
          <w:p w:rsidR="00DD5696" w:rsidRDefault="00DD5696">
            <w:pPr>
              <w:pStyle w:val="a5"/>
              <w:tabs>
                <w:tab w:val="left" w:pos="983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Положением Банка России от 25 октября 2017 г. N 613-П «О формах раскрытия информации в бухгалтерской (финансовой) отчетности </w:t>
            </w:r>
            <w:proofErr w:type="spellStart"/>
            <w:r>
              <w:rPr>
                <w:sz w:val="24"/>
                <w:szCs w:val="24"/>
              </w:rPr>
              <w:t>некредитных</w:t>
            </w:r>
            <w:proofErr w:type="spellEnd"/>
            <w:r>
              <w:rPr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отчетности»;</w:t>
            </w:r>
          </w:p>
          <w:p w:rsidR="00DD5696" w:rsidRDefault="00DD5696">
            <w:pPr>
              <w:pStyle w:val="a5"/>
              <w:tabs>
                <w:tab w:val="left" w:pos="983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Положением Банка России от 2 сентября 2015 г. N 486-П «О Плане счетов бухгалтерского учета в </w:t>
            </w:r>
            <w:proofErr w:type="spellStart"/>
            <w:r>
              <w:rPr>
                <w:sz w:val="24"/>
                <w:szCs w:val="24"/>
              </w:rPr>
              <w:t>некредитных</w:t>
            </w:r>
            <w:proofErr w:type="spellEnd"/>
            <w:r>
              <w:rPr>
                <w:sz w:val="24"/>
                <w:szCs w:val="24"/>
              </w:rPr>
              <w:t xml:space="preserve"> финансовых организациях и порядке его применения»;</w:t>
            </w:r>
          </w:p>
          <w:p w:rsidR="00DD5696" w:rsidRDefault="00DD5696">
            <w:pPr>
              <w:pStyle w:val="a5"/>
              <w:tabs>
                <w:tab w:val="left" w:pos="983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соответствие полноты и правильности оформления первичных документов, подтверждающих факт свершения соответствующих хозяйственных операций, требованиям нормативных актов;</w:t>
            </w:r>
          </w:p>
          <w:p w:rsidR="00DD5696" w:rsidRDefault="00DD5696" w:rsidP="00ED0221">
            <w:pPr>
              <w:pStyle w:val="a5"/>
              <w:numPr>
                <w:ilvl w:val="1"/>
                <w:numId w:val="9"/>
              </w:numPr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сроков и порядка проведения инвентаризации финансовых и нефинансовых обязательств и имущества требованиям нормативных актов;</w:t>
            </w:r>
          </w:p>
          <w:p w:rsidR="00DD5696" w:rsidRDefault="00DD5696" w:rsidP="00ED0221">
            <w:pPr>
              <w:pStyle w:val="a5"/>
              <w:numPr>
                <w:ilvl w:val="1"/>
                <w:numId w:val="9"/>
              </w:numPr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 формирования резервов требованиям нормативных актов;</w:t>
            </w:r>
          </w:p>
          <w:p w:rsidR="00DD5696" w:rsidRDefault="00DD5696" w:rsidP="00ED0221">
            <w:pPr>
              <w:pStyle w:val="a5"/>
              <w:numPr>
                <w:ilvl w:val="1"/>
                <w:numId w:val="9"/>
              </w:numPr>
              <w:ind w:left="17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ведения аналитического учета требованиям нормативных актов.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</w:p>
        </w:tc>
      </w:tr>
      <w:tr w:rsidR="00DD5696" w:rsidTr="00DD569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бухгалтерского учета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правильность отражения и ведения учета операций по выдаче (размещению) денежных средств по договорам </w:t>
            </w:r>
            <w:proofErr w:type="spellStart"/>
            <w:r>
              <w:rPr>
                <w:sz w:val="24"/>
                <w:szCs w:val="24"/>
              </w:rPr>
              <w:t>микрозайма</w:t>
            </w:r>
            <w:proofErr w:type="spellEnd"/>
            <w:r>
              <w:rPr>
                <w:sz w:val="24"/>
                <w:szCs w:val="24"/>
              </w:rPr>
              <w:t xml:space="preserve"> (займа);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правильность отражения и ведения учета нематериальных активов;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правильность отражения и ведения учета основных средств;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правильность отражения и ведения учета запасов;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правильность отражения и ведения учета операций по привлечению денежных средств;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 правильность отражения и ведения учета вознаграждений работников;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правильность отражения и ведения учета договоров аренды;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правильность отражения и ведения учета отложенных активов и отложенных обязательств;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правильность отражения и ведения учета резервов – оценочных обязательств и условных обязательств;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 правильность отражения и ведения учета событий после отчетного периода;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 правильность отражения и ведения учета доходов, расходов и финансовых результатов;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 правильность отражения и ведения учета исправления ошибок;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 правильность отражения и ведения учета денежных средств;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 правильность отражения и ведения учета целевого финансирования</w:t>
            </w:r>
          </w:p>
          <w:p w:rsidR="00DD5696" w:rsidRDefault="00DD5696">
            <w:pPr>
              <w:pStyle w:val="a5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 соответствие порядка составления бухгалтерской (финансовой) отчетности нормативным актам.</w:t>
            </w:r>
          </w:p>
        </w:tc>
      </w:tr>
    </w:tbl>
    <w:p w:rsidR="00DD5696" w:rsidRDefault="00DD5696" w:rsidP="00DD5696">
      <w:pPr>
        <w:jc w:val="right"/>
        <w:rPr>
          <w:rFonts w:ascii="Times New Roman" w:hAnsi="Times New Roman"/>
          <w:b/>
          <w:sz w:val="24"/>
          <w:szCs w:val="24"/>
        </w:rPr>
      </w:pP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Оформление результатов аудита</w:t>
      </w:r>
    </w:p>
    <w:p w:rsidR="00DD5696" w:rsidRDefault="00DD5696" w:rsidP="00DD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Результаты проведенного аудита представляются Фонду аудитором в виде аудиторского заключения, офо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рмленного в соответствии с Федеральными стандартами аудиторской деятельности, а также аудиторского отчета (на бумажном и электронном носителях), содержащего информацию о решении каждой из задач раздела 2 настоящего Технического задания с обоснованными выводами и предложениями по каждой задаче и подзадаче. К отчету в обязательном порядке должны быть приложены приложения, перечисленные в разделе 4. </w:t>
      </w:r>
    </w:p>
    <w:p w:rsidR="00DD5696" w:rsidRDefault="00DD5696" w:rsidP="00DD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Приложения к техническому заданию.</w:t>
      </w:r>
    </w:p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ведомость исправления выявленных 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350"/>
        <w:gridCol w:w="1080"/>
        <w:gridCol w:w="1890"/>
        <w:gridCol w:w="3510"/>
      </w:tblGrid>
      <w:tr w:rsidR="00DD5696" w:rsidTr="00DD569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Исправительная запись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по устранению нарушений и их профилактике</w:t>
            </w: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D5696" w:rsidRDefault="00DD5696" w:rsidP="00DD5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10"/>
        <w:gridCol w:w="5670"/>
      </w:tblGrid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рекомендации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Результат, ожидаемый от выполнения рекомендации</w:t>
            </w: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 о Фонде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14"/>
        <w:gridCol w:w="3766"/>
      </w:tblGrid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в ПФР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ИФНС, контролирующей Фонд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ИНН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СОАТО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собственности (ОКФС)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организационно-правовой формы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DD5696" w:rsidRDefault="00DD5696" w:rsidP="00DD5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состав годовой бухгалтерской отчетности Фонда за </w:t>
      </w:r>
      <w:proofErr w:type="spellStart"/>
      <w:r>
        <w:rPr>
          <w:rFonts w:ascii="Times New Roman" w:hAnsi="Times New Roman"/>
          <w:sz w:val="24"/>
          <w:szCs w:val="24"/>
        </w:rPr>
        <w:t>аудируемый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предшествующий аудиту год.</w:t>
      </w:r>
    </w:p>
    <w:p w:rsidR="00DD5696" w:rsidRDefault="00DD5696" w:rsidP="00DD5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696" w:rsidRDefault="00DD5696" w:rsidP="00DD56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Ведомость учета полноты содержания учетной политики</w:t>
      </w:r>
    </w:p>
    <w:p w:rsidR="00DD5696" w:rsidRDefault="00DD5696" w:rsidP="00DD5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Фонда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45"/>
        <w:gridCol w:w="2835"/>
      </w:tblGrid>
      <w:tr w:rsidR="00DD5696" w:rsidTr="00DD569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 (подраздела) </w:t>
            </w:r>
          </w:p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учетной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наличии </w:t>
            </w:r>
          </w:p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 (подраздела), да/нет</w:t>
            </w:r>
          </w:p>
        </w:tc>
      </w:tr>
      <w:tr w:rsidR="00DD5696" w:rsidTr="00DD5696">
        <w:trPr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политика для целей бухгалтерского учета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 проведения  инвентаризации  активов и обязательств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    документооборота    и   технология обработки учетной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контроля над  хозяйственными операциями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 решения,  необходимые  для организации </w:t>
            </w:r>
          </w:p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 доходов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96" w:rsidTr="00DD5696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696" w:rsidRDefault="00D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решения,  необходимые  для организации налогового учета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96" w:rsidRDefault="00DD5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96" w:rsidRDefault="00DD5696" w:rsidP="00DD5696">
      <w:pPr>
        <w:spacing w:after="0" w:line="240" w:lineRule="auto"/>
        <w:jc w:val="both"/>
      </w:pP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DD5696" w:rsidRDefault="00DD5696" w:rsidP="00DD5696">
      <w:pPr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Заказчик:                                                                        Исполнитель:</w:t>
      </w:r>
    </w:p>
    <w:p w:rsidR="00456B05" w:rsidRDefault="00DD5696" w:rsidP="00DD5696">
      <w:pPr>
        <w:spacing w:after="0" w:line="240" w:lineRule="auto"/>
      </w:pPr>
      <w:r>
        <w:rPr>
          <w:rFonts w:ascii="Times New Roman" w:eastAsia="Lucida Sans Unicode" w:hAnsi="Times New Roman"/>
          <w:sz w:val="28"/>
          <w:szCs w:val="28"/>
        </w:rPr>
        <w:t xml:space="preserve">____________________________                         </w:t>
      </w:r>
      <w:r w:rsidR="00593296">
        <w:rPr>
          <w:rFonts w:ascii="Times New Roman" w:eastAsia="Lucida Sans Unicode" w:hAnsi="Times New Roman"/>
          <w:sz w:val="28"/>
          <w:szCs w:val="28"/>
        </w:rPr>
        <w:t xml:space="preserve">        ______________________</w:t>
      </w:r>
    </w:p>
    <w:sectPr w:rsidR="004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</w:lvl>
    <w:lvl w:ilvl="1">
      <w:start w:val="1"/>
      <w:numFmt w:val="decimal"/>
      <w:lvlText w:val="%1.%2."/>
      <w:lvlJc w:val="left"/>
      <w:pPr>
        <w:ind w:left="2134" w:hanging="1425"/>
      </w:pPr>
    </w:lvl>
    <w:lvl w:ilvl="2">
      <w:start w:val="1"/>
      <w:numFmt w:val="decimal"/>
      <w:lvlText w:val="%1.%2.%3."/>
      <w:lvlJc w:val="left"/>
      <w:pPr>
        <w:ind w:left="2843" w:hanging="1425"/>
      </w:pPr>
    </w:lvl>
    <w:lvl w:ilvl="3">
      <w:start w:val="1"/>
      <w:numFmt w:val="decimal"/>
      <w:lvlText w:val="%1.%2.%3.%4."/>
      <w:lvlJc w:val="left"/>
      <w:pPr>
        <w:ind w:left="3552" w:hanging="1425"/>
      </w:pPr>
    </w:lvl>
    <w:lvl w:ilvl="4">
      <w:start w:val="1"/>
      <w:numFmt w:val="decimal"/>
      <w:lvlText w:val="%1.%2.%3.%4.%5."/>
      <w:lvlJc w:val="left"/>
      <w:pPr>
        <w:ind w:left="4261" w:hanging="142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C667D02"/>
    <w:multiLevelType w:val="hybridMultilevel"/>
    <w:tmpl w:val="1B528E1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2D84543"/>
    <w:multiLevelType w:val="multilevel"/>
    <w:tmpl w:val="08E6B0FA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 w15:restartNumberingAfterBreak="0">
    <w:nsid w:val="674814CB"/>
    <w:multiLevelType w:val="multilevel"/>
    <w:tmpl w:val="77F09DB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</w:lvl>
    <w:lvl w:ilvl="3">
      <w:start w:val="1"/>
      <w:numFmt w:val="decimal"/>
      <w:lvlText w:val="%1.%2.%3.%4."/>
      <w:lvlJc w:val="left"/>
      <w:pPr>
        <w:ind w:left="1245" w:hanging="720"/>
      </w:pPr>
    </w:lvl>
    <w:lvl w:ilvl="4">
      <w:start w:val="1"/>
      <w:numFmt w:val="decimal"/>
      <w:lvlText w:val="%1.%2.%3.%4.%5."/>
      <w:lvlJc w:val="left"/>
      <w:pPr>
        <w:ind w:left="1780" w:hanging="1080"/>
      </w:pPr>
    </w:lvl>
    <w:lvl w:ilvl="5">
      <w:start w:val="1"/>
      <w:numFmt w:val="decimal"/>
      <w:lvlText w:val="%1.%2.%3.%4.%5.%6."/>
      <w:lvlJc w:val="left"/>
      <w:pPr>
        <w:ind w:left="1955" w:hanging="1080"/>
      </w:pPr>
    </w:lvl>
    <w:lvl w:ilvl="6">
      <w:start w:val="1"/>
      <w:numFmt w:val="decimal"/>
      <w:lvlText w:val="%1.%2.%3.%4.%5.%6.%7."/>
      <w:lvlJc w:val="left"/>
      <w:pPr>
        <w:ind w:left="2490" w:hanging="1440"/>
      </w:pPr>
    </w:lvl>
    <w:lvl w:ilvl="7">
      <w:start w:val="1"/>
      <w:numFmt w:val="decimal"/>
      <w:lvlText w:val="%1.%2.%3.%4.%5.%6.%7.%8."/>
      <w:lvlJc w:val="left"/>
      <w:pPr>
        <w:ind w:left="2665" w:hanging="1440"/>
      </w:pPr>
    </w:lvl>
    <w:lvl w:ilvl="8">
      <w:start w:val="1"/>
      <w:numFmt w:val="decimal"/>
      <w:lvlText w:val="%1.%2.%3.%4.%5.%6.%7.%8.%9."/>
      <w:lvlJc w:val="left"/>
      <w:pPr>
        <w:ind w:left="3200" w:hanging="1800"/>
      </w:pPr>
    </w:lvl>
  </w:abstractNum>
  <w:abstractNum w:abstractNumId="7" w15:restartNumberingAfterBreak="0">
    <w:nsid w:val="6B375FB3"/>
    <w:multiLevelType w:val="multilevel"/>
    <w:tmpl w:val="6E4613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DC914F8"/>
    <w:multiLevelType w:val="multilevel"/>
    <w:tmpl w:val="3BA699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35" w:hanging="360"/>
      </w:pPr>
    </w:lvl>
    <w:lvl w:ilvl="2">
      <w:start w:val="1"/>
      <w:numFmt w:val="decimal"/>
      <w:lvlText w:val="%1.%2.%3."/>
      <w:lvlJc w:val="left"/>
      <w:pPr>
        <w:ind w:left="1070" w:hanging="720"/>
      </w:pPr>
    </w:lvl>
    <w:lvl w:ilvl="3">
      <w:start w:val="1"/>
      <w:numFmt w:val="decimal"/>
      <w:lvlText w:val="%1.%2.%3.%4."/>
      <w:lvlJc w:val="left"/>
      <w:pPr>
        <w:ind w:left="1245" w:hanging="720"/>
      </w:pPr>
    </w:lvl>
    <w:lvl w:ilvl="4">
      <w:start w:val="1"/>
      <w:numFmt w:val="decimal"/>
      <w:lvlText w:val="%1.%2.%3.%4.%5."/>
      <w:lvlJc w:val="left"/>
      <w:pPr>
        <w:ind w:left="1780" w:hanging="1080"/>
      </w:pPr>
    </w:lvl>
    <w:lvl w:ilvl="5">
      <w:start w:val="1"/>
      <w:numFmt w:val="decimal"/>
      <w:lvlText w:val="%1.%2.%3.%4.%5.%6."/>
      <w:lvlJc w:val="left"/>
      <w:pPr>
        <w:ind w:left="1955" w:hanging="1080"/>
      </w:pPr>
    </w:lvl>
    <w:lvl w:ilvl="6">
      <w:start w:val="1"/>
      <w:numFmt w:val="decimal"/>
      <w:lvlText w:val="%1.%2.%3.%4.%5.%6.%7."/>
      <w:lvlJc w:val="left"/>
      <w:pPr>
        <w:ind w:left="2490" w:hanging="1440"/>
      </w:pPr>
    </w:lvl>
    <w:lvl w:ilvl="7">
      <w:start w:val="1"/>
      <w:numFmt w:val="decimal"/>
      <w:lvlText w:val="%1.%2.%3.%4.%5.%6.%7.%8."/>
      <w:lvlJc w:val="left"/>
      <w:pPr>
        <w:ind w:left="2665" w:hanging="1440"/>
      </w:pPr>
    </w:lvl>
    <w:lvl w:ilvl="8">
      <w:start w:val="1"/>
      <w:numFmt w:val="decimal"/>
      <w:lvlText w:val="%1.%2.%3.%4.%5.%6.%7.%8.%9."/>
      <w:lvlJc w:val="left"/>
      <w:pPr>
        <w:ind w:left="3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1"/>
    <w:rsid w:val="00593296"/>
    <w:rsid w:val="006A2D22"/>
    <w:rsid w:val="008E500C"/>
    <w:rsid w:val="00931E17"/>
    <w:rsid w:val="00980B92"/>
    <w:rsid w:val="00DD5696"/>
    <w:rsid w:val="00E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75C3-0C56-4234-9BFB-6689235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5696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5696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6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D56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D569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5696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69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69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Iauiue">
    <w:name w:val="Iau?iue"/>
    <w:rsid w:val="00931E17"/>
    <w:pPr>
      <w:widowControl w:val="0"/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31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Антон Павлович</dc:creator>
  <cp:keywords/>
  <dc:description/>
  <cp:lastModifiedBy>Оськина Татьяна Захаровна</cp:lastModifiedBy>
  <cp:revision>3</cp:revision>
  <dcterms:created xsi:type="dcterms:W3CDTF">2019-01-10T01:05:00Z</dcterms:created>
  <dcterms:modified xsi:type="dcterms:W3CDTF">2019-12-18T07:00:00Z</dcterms:modified>
</cp:coreProperties>
</file>