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  <w:outlineLvl w:val="1"/>
      </w:pPr>
      <w:r/>
      <w:bookmarkStart w:id="0" w:name="P1959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4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принятия решений о разработке,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формировании, реализации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Еврейской автономной области 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их реализации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Таблица 1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Еврейской автономной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2023 год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372" w:type="dxa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64"/>
        <w:gridCol w:w="4395"/>
        <w:gridCol w:w="992"/>
        <w:gridCol w:w="1276"/>
        <w:gridCol w:w="1701"/>
        <w:gridCol w:w="992"/>
        <w:gridCol w:w="850"/>
        <w:gridCol w:w="3402"/>
      </w:tblGrid>
      <w:tr>
        <w:tblPrEx/>
        <w:trPr>
          <w:cantSplit/>
        </w:trPr>
        <w:tc>
          <w:tcPr>
            <w:tcW w:w="764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szCs w:val="22"/>
              </w:rPr>
              <w:t xml:space="preserve">/п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целевого показателя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 изм.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Плановое значение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Фактическое значение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Отклонение фактического значения </w:t>
            </w:r>
            <w:r>
              <w:rPr>
                <w:rFonts w:ascii="Times New Roman" w:hAnsi="Times New Roman" w:cs="Times New Roman"/>
                <w:szCs w:val="22"/>
              </w:rPr>
              <w:t xml:space="preserve">от</w:t>
            </w:r>
            <w:r>
              <w:rPr>
                <w:rFonts w:ascii="Times New Roman" w:hAnsi="Times New Roman" w:cs="Times New Roman"/>
                <w:szCs w:val="22"/>
              </w:rPr>
              <w:t xml:space="preserve"> планового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Обоснование причин отклонения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cantSplit/>
        </w:trPr>
        <w:tc>
          <w:tcPr>
            <w:tcW w:w="76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439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-/+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gridSpan w:val="8"/>
            <w:tcW w:w="143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2 «Развитие малого и среднего предпринимательства в Еврейской автономной области» на 2019 – 2025 годы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pStyle w:val="874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субъектов МСП (включая индивидуальных предпринимателей) в расчете на 1 тыс. человек населения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единиц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38,00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25,47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- 1</w:t>
            </w:r>
            <w:r>
              <w:rPr>
                <w:rFonts w:ascii="Times New Roman" w:hAnsi="Times New Roman" w:cs="Times New Roman"/>
                <w:szCs w:val="22"/>
              </w:rPr>
              <w:t xml:space="preserve">2,53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-33,0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учетом самозанятых фактическое значение – 59,16 единиц 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vAlign w:val="center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vAlign w:val="center"/>
            <w:textDirection w:val="lrTb"/>
            <w:noWrap w:val="false"/>
          </w:tcPr>
          <w:p>
            <w:pPr>
              <w:pStyle w:val="874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среднесписочной численности работников, занятых у субъектов МСП, в общей численности занятого населения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27,42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14,02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- 13,4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-48,9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  <w:t xml:space="preserve">С учетом самозанятых фактическое значение </w:t>
            </w:r>
            <w:r>
              <w:rPr>
                <w:rFonts w:ascii="Times New Roman" w:hAnsi="Times New Roman" w:cs="Times New Roman"/>
                <w:szCs w:val="22"/>
              </w:rPr>
              <w:t xml:space="preserve">–</w:t>
            </w:r>
            <w:r>
              <w:rPr>
                <w:rFonts w:ascii="Times New Roman" w:hAnsi="Times New Roman" w:cs="Times New Roman"/>
                <w:szCs w:val="22"/>
              </w:rPr>
              <w:t xml:space="preserve"> 21,92 единиц 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pStyle w:val="874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%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21,5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  <w:t xml:space="preserve">н/д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Сведения предоставляются после 20 февраля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2.4.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Коэффициент «рождаемости» субъектов МСП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135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161,1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+ 26,1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+19,3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2.6.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субъектов МСП, получивших комплексные услуги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единиц 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0,098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0,089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</w:t>
            </w:r>
            <w:r>
              <w:rPr>
                <w:rFonts w:ascii="Times New Roman" w:hAnsi="Times New Roman" w:cs="Times New Roman"/>
                <w:szCs w:val="22"/>
              </w:rPr>
              <w:t xml:space="preserve"> 0,0</w:t>
            </w:r>
            <w:r>
              <w:rPr>
                <w:rFonts w:ascii="Times New Roman" w:hAnsi="Times New Roman" w:cs="Times New Roman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szCs w:val="22"/>
              </w:rPr>
              <w:t xml:space="preserve">9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-0,1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r/>
            <w:r/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2.9.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субъектов МСП-экспортеров, заключивших экспортные контракты по результатам услуг ЦПЭ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+ 1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+50</w:t>
            </w:r>
            <w:r>
              <w:rPr>
                <w:rFonts w:ascii="Times New Roman" w:hAnsi="Times New Roman" w:cs="Times New Roman"/>
                <w:szCs w:val="22"/>
              </w:rPr>
              <w:t xml:space="preserve">,00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2.18.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действующих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микрозаймов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, выданных МФО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45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57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+ 12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+26,7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2.19.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РГО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млн. рублей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  <w:t xml:space="preserve">2,9984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80,145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+ 57,1466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26,7 раза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2.22.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самозанятых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граждан, зафиксировавших свой статус и применяющих специальный налоговый режим "Налог на профессиональный доход" (НПД)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человек, накопленным итогом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  <w:t xml:space="preserve">1,1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5,115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+ 4,015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4,6 раза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2.23.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Объем выданных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самозанятым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гражданам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микрозаймов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по льготной ставке государственными МФО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млн. рублей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1,5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1,8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+ 0,3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+20,0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2.24.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самозанятых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граждан,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получивших услуги, в том числе прошедших программы обучения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человек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0,035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0,068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+ 0,033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+94,3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2.25.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индивидуальных предпринимателей, применяющих патентную систему налогообложения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0,753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1,286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+ 0,533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+70,8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2.26.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Объем финансовой поддержки, предоставленной начинающим предпринимателям (кредиты, лизинг, займы), обеспеченной поручительствами РГО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млрд. рублей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0,0002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0,001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+ 0,0008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+400,0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vMerge w:val="restart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2.27.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действующих микрозаймов, предоставленных начинающим предпринимателям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+ 1</w:t>
            </w: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+8,3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2.28.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оличество уникальных социальных предприятий, включенных в реестр социальных предпринимателей, и количество субъектов МСП, созданных физическими лицами в возрасте до 25 лет включительно, получивших комплекс услуг и (или) финансовую поддержку в виде грантов
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+ 13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+69,2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3256"/>
        </w:trPr>
        <w:tc>
          <w:tcPr>
            <w:tcW w:w="764" w:type="dxa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2.29.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оличество уникальных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офлай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н-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тыс. 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0,261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0,307</w:t>
            </w:r>
            <w:bookmarkStart w:id="1" w:name="_GoBack"/>
            <w:r/>
            <w:bookmarkEnd w:id="1"/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+ 0,046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+17,6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3256"/>
        </w:trPr>
        <w:tc>
          <w:tcPr>
            <w:tcW w:w="764" w:type="dxa"/>
            <w:vMerge w:val="restart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2.31.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бъем финансовой поддержки, оказанной организациям и индивидуальным предпринимателям, осуществляющим деятельность в отдельных отраслях экономики, по предоставлению субсидий на возмещение части затрат на уплату процентов по кредитам, полученным в кредитных о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рганизациях на пополнение оборотных средств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млн руб.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0,88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2,647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+ 1,767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 раза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3256"/>
        </w:trPr>
        <w:tc>
          <w:tcPr>
            <w:tcW w:w="764" w:type="dxa"/>
            <w:vMerge w:val="restart"/>
            <w:textDirection w:val="lrTb"/>
            <w:noWrap w:val="false"/>
          </w:tcPr>
          <w:p>
            <w:pPr>
              <w:pStyle w:val="874"/>
              <w:jc w:val="right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2.32.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395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  <w:t xml:space="preserve">Количество организаций инфраструктуры поддержки субъектов малого и среднего предпринимательства - получателей имущественной поддерж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единиц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74"/>
              <w:contextualSpacing/>
              <w:jc w:val="center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hd w:val="nil" w:color="auto"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74"/>
        <w:jc w:val="right"/>
        <w:spacing w:after="0" w:afterAutospacing="0"/>
        <w:rPr>
          <w:rFonts w:ascii="Times New Roman" w:hAnsi="Times New Roman" w:cs="Times New Roman"/>
          <w:sz w:val="24"/>
          <w:szCs w:val="24"/>
          <w:highlight w:val="none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Таблица 2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74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и результатах реализации государственной программы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center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Еврейской автономной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2023 год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both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946" w:type="dxa"/>
        <w:tblInd w:w="-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172"/>
        <w:gridCol w:w="1214"/>
        <w:gridCol w:w="1214"/>
        <w:gridCol w:w="1214"/>
        <w:gridCol w:w="2309"/>
        <w:gridCol w:w="2030"/>
        <w:gridCol w:w="2793"/>
      </w:tblGrid>
      <w:tr>
        <w:tblPrEx/>
        <w:trPr>
          <w:cantSplit/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Наименование программы (подпрограммы), основного мероприятия (мероприятия), источники финансирования, направления расходов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Предусмо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-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трено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Профинанси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-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ровано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Выполнено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(в случае наличия кредиторской задолженности указать)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gridSpan w:val="2"/>
            <w:tcW w:w="433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Ожидаемые конечные результаты реализации мероприятий программы в количественном измерении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Связь с показателем (индикатором) государственной программы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4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Предусмотрено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Выполнено </w:t>
            </w:r>
            <w:hyperlink w:tooltip="#P2571" w:anchor="P2571" w:history="1">
              <w:r>
                <w:rPr>
                  <w:rFonts w:ascii="Times New Roman" w:hAnsi="Times New Roman" w:eastAsia="Times New Roman" w:cs="Times New Roman"/>
                  <w:color w:val="0000ff"/>
                  <w:sz w:val="14"/>
                  <w:szCs w:val="14"/>
                </w:rPr>
                <w:t xml:space="preserve">&lt;*&gt;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7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8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Подпрограмма 2 «Развитие малого и среднего предпринимательства в Еврейской автономной области» на 2019 – 2025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3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58748,84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102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58748,84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58493,14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  <w:highlight w:val="none"/>
              </w:rPr>
              <w:t xml:space="preserve">Задача: Развитие малого и среднего предпринимательства, реализация инвестиционного потенциала малого бизнеса области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  <w:highlight w:val="none"/>
              </w:rPr>
              <w:t xml:space="preserve">Основное мероприятие 1. Организация и проведение выездных и информационных мероприятий для субъектов МСП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  <w:highlight w:val="none"/>
              </w:rPr>
              <w:t xml:space="preserve">1.1. Проведение «круглых столов» по вопросам взаимодействия органов государственной власти области, органов местного самоуправления муниципальных образований области, 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  <w:highlight w:val="none"/>
              </w:rPr>
              <w:t xml:space="preserve">ресурсопоставляющих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  <w:highlight w:val="none"/>
              </w:rPr>
              <w:t xml:space="preserve"> компаний и предпринимательских структур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1. Организация и проведение 5 «круглых столов» ежегодно по выявлению проблемных вопросов при взаимодействии органов государственной власти области, органов местного самоуправления муниципальных образований области,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ресурсопоставляющих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 компаний и предпринимательских структур и способов их устранения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Количество субъектов МСП и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самозанятых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предпринимательства»;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Количество субъектов МСП, принявших участие в мероприятиях регионального проекта «Популяризация предпринимательства»;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выдаваемых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  <w:highlight w:val="none"/>
              </w:rPr>
              <w:t xml:space="preserve">1.2. Оказание информационной поддержки субъектам МСП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2. Размещение информационных материалов для субъектов МСП в сети Интернет не менее 4 раз в год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Более 700 публикации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Количество субъектов МСП и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самозанятых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 граждан, получивших поддержку в рамках регионального проекта «Акселерация субъектов малого и среднего предпринимательства»;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Количество субъектов МСП, принявших участие в мероприятиях регионального проекта «Популяризация предпринимательства»;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выдаваемых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highlight w:val="none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  <w:r>
              <w:rPr>
                <w:rFonts w:ascii="Times New Roman" w:hAnsi="Times New Roman" w:cs="Times New Roman"/>
                <w:sz w:val="14"/>
                <w:szCs w:val="14"/>
                <w:highlight w:val="none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Основное мероприятие 2. Финансовое обеспечение уставной деятельности НКО - Фонд «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Микрокредитная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 компания ЕАО»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2.1. Имущественный взнос в НКО - Фонд «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Микрокредитная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 компания ЕАО»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1. Количество действующих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, выданных МФО: 2023 - 45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2. Доля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в структуре совокупного портфеля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выданных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вновь зарегистрированным и действующим менее 1 (одного) года субъектам МСП, - не менее 15%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1) 57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; 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2) 26,1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(в части микрозаймов, выданных НКО – Фондом «Микрокредитная компания ЕАО»)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выдаваемых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действующих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, выданных МФО.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субъектов МСП, получивших поддержку при содействии МФО.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Объем выданных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самозанятым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гражданам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по льготной ставке государственными МФО.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действующих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, предоставленных начинающим предпринимателям.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9640,10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3. Региональный проект «Акселерация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34939,10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34939,10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34939,10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34589,70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34589,70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34589,70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34939,10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34939,10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34939,10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349,40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34589,70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34589,70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34589,70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3.1. Обеспечение субъектам МСП льготного доступа к заемным средствам государственных 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микрофинансовых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 организаций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действующих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, выданных МФО: 2023 - 45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57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действующих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, выданных МФО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3.2. Предоставление субъектам МСП поручительств (гарантий) РГО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Объем финансовой поддержки, оказанной субъектам МСП, при гарантийной поддержке РГО (млн. рублей): 2023 - 2,9984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80,145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Объем финансовой поддержки, оказанной субъектам малого и среднего предпринимательства, при гарантийной поддержке РГО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3.3. Оказание субъектам МСП,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1. Количество проведенных консультаций и мероприятий для субъектов малого и среднего предпринимательства - не менее 320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2. Количество субъектов МСП, получивших государственную поддержку - не менее 3%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3. Количество проведенных обучающих мероприятий для субъектов МСП (семинары, конференции, форумы, круглые столы, мастер-классы и т.д.) - не менее 24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4. Количество проведенных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выставочно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-ярмарочных мероприятий с целью содействия развитию и популяризации деятельности субъектов МСП - не менее 2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5. Количество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проведенных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региональных бизнес-миссий - не менее 3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1) 572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2) 12,0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3) 46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4) 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5) 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субъектов МСП, получивших комплексные услуги.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25333,50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25333,50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25333,50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253,30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253,30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253,30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25080,20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25080,20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25080,20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center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25333,50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25333,50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25333,50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253,30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253,30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253,30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25080,20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25080,20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25080,20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3.4. Оказание поддержки центром экспорта субъектам МСП в осуществлении экспорта товаров (работ, услуг)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1. Количество консультационных услуг с привлечением сторонних профильных экспертов по тематике внешнеэкономической деятельности - не менее 10 ежегодно.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2. Количество субъектов МСП, получивших услуги центра поддержки экспортно ориентированных субъектов МСП, - не менее 40 ежегодно.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3. Отношение количества субъектов МСП, воспользовавшихся услугами ЦПЭ, к общему количеству субъектов МСП, зарегистрированных в субъекте РФ, - не менее 0,1% ежегодно.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4. Количество субъектов МСП-экспортеров, заключивших экспортные контракты по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результатам услуг ЦПЭ: 2021 - 2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5. Количество субъектов МСП, получивших услуги АО "РЭЦ", - не менее 6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1) 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2) 43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3) 1,2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4) 3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5) 63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субъектов МСП-экспортеров, заключивших экспортные контракты по результатам услуг ЦПЭ.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9605,60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9605,60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9605,60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9509,50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9509,50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9509,50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9605,60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9605,60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9605,60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9509,50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9509,50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9509,50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4. Региональный проект "Создание благоприятных условий для осуществления деятельности 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самозанятыми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 гражданами"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4.1. Предоставление 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самозанятым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 гражданам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офлай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н-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 и онлайн-форматах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проведенных обучающих мероприятий для субъектов МСП (семинары, конференции, форумы, круглые столы, мастер-классы и т.д.) - не менее 24 в год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46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самозанятых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граждан, получивших услуги, в том числе прошедших программы обучения.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1651,90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1635,40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5. Региональный проект "Создание условий для легкого старта и комфортного ведения бизнеса"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9870,30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98,70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9771,60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9518,50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9518,50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9870,30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98,70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96,10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9771,60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9518,50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9518,50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5.1. Оказание субъектам МСП, включенным в реестр социальных предпринимателей, комплексных услуг и (или) предоставление финансовой поддержки в виде грантов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1. Количество проведенных консультаций и мероприятий для субъектов малого и среднего предпринимательства - не менее 320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2. Количество субъектов МСП, получивших государственную поддержку, - не менее 3%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3. Количество проведенных обучающих мероприятий для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субъектов МСП (семинары, конференции, форумы, круглые столы, мастер-классы и т.д.) - не менее 24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4. Количество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проведенных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региональных бизнес-миссий - не менее 3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1) 572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2) 12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tabs>
                <w:tab w:val="center" w:pos="953" w:leader="none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3) 46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4) 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индивидуальных предпринимателей, применяющих патентную систему налогообложения.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6755,70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6500,00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6500,00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67,60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65,00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65,00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6688,10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6435,00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6435,00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6755,70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6500,00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6500,00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67,60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65,00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65,00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6688,10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6435,00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6435,00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5.2. Предоставление гражданам, желающим вести бизнес, начинающим и действующим предпринимателям комплексных услуг, направленных на вовлечение в предпринимательскую деятельность, а также информационно-консультационных и образовательных услуг в офлай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н-</w:t>
            </w: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  <w:t xml:space="preserve"> и онлайн-форматах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1. Количество проведенных консультаций и мероприятий для субъектов малого и среднего предпринимательства - не менее 320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2. Количество субъектов МСП, получивших государственную поддержку, - не менее 3%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3. Количество проведенных обучающих мероприятий для субъектов МСП (семинары, конференции, форумы, круглые столы, мастер-классы и т.д.) - не менее 24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4. Количество проведенных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выставочно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-ярмарочных мероприятий с целью содействия развитию и популяризации деятельности субъектов МСП - не менее 2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5. Количество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проведенных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региональных бизнес-миссий - не менее 3 в год.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1) 572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2) 12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3) 46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4) 2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5) 0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индивидуальных предпринимателей, применяющих патентную систему налогообложения.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Объем финансовой поддержки, предоставленной начинающим предпринимателям (кредиты, лизинг, займы), обеспеченной поручительствами РГО.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Количество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действующих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микрозаймов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, предоставленных начинающим предпринимателям.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оличество уникальных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офлай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н-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3083,50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3083,50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3083,50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3114,60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ff000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31,10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3083,50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3083,50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3083,50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cantSplit/>
          <w:trHeight w:val="20"/>
        </w:trPr>
        <w:tc>
          <w:tcPr>
            <w:tcW w:w="4172" w:type="dxa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gridSpan w:val="7"/>
            <w:tcW w:w="14946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Основное мероприятие 4. Финансовая поддержка организаций и индивидуальных предпринимателей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5.3.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Предоставление субсидий орган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изациям и индивидуальным предпринимателям, осуществляющим деятельность по ремонту и (или) строительству автомобильных дорог регионального значения на территории Еврейской автономной области, в целях возмещения части затрат на уплату процентов по кредитам,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полученным в кредитных организациях на пополнение оборотных средств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r>
          </w:p>
        </w:tc>
        <w:tc>
          <w:tcPr>
            <w:tcW w:w="2309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Количество организаций и индивидуальных предпринимателей, осуществляющих деятельность в отдельных отраслях экономики, - получателей поддержки - не менее 1 ежегодно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03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1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2793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бъем финансовой поддержки, оказанной организациям и индивидуальным предпринимателям, осуществляющим деятельность в отдельных отраслях экономики, по предоставлению субсидий на возмещение части затрат на уплату процентов по кредитам, полученным в кредитных о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рганизациях на пополнение оборотных средств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Из них: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Прочие - всего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Областной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2647,44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trHeight w:val="20"/>
        </w:trPr>
        <w:tc>
          <w:tcPr>
            <w:tcW w:w="4172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spacing w:after="0" w:afterAutospacing="0" w:line="240" w:lineRule="auto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874"/>
              <w:jc w:val="left"/>
              <w:spacing w:after="0" w:afterAutospacing="0" w:line="240" w:lineRule="auto"/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</w:rPr>
              <w:t xml:space="preserve">0,00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</w:r>
          </w:p>
        </w:tc>
        <w:tc>
          <w:tcPr>
            <w:tcW w:w="23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03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793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pStyle w:val="874"/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74"/>
        <w:jc w:val="both"/>
        <w:spacing w:after="0" w:afterAutospacing="0" w:line="240" w:lineRule="auto"/>
        <w:rPr>
          <w:rFonts w:ascii="Times New Roman" w:hAnsi="Times New Roman" w:cs="Times New Roman"/>
          <w:sz w:val="16"/>
          <w:szCs w:val="16"/>
        </w:rPr>
      </w:pPr>
      <w:r/>
      <w:bookmarkStart w:id="2" w:name="P2571"/>
      <w:r/>
      <w:bookmarkEnd w:id="2"/>
      <w:r>
        <w:rPr>
          <w:rFonts w:ascii="Times New Roman" w:hAnsi="Times New Roman" w:cs="Times New Roman"/>
          <w:sz w:val="16"/>
          <w:szCs w:val="16"/>
        </w:rPr>
        <w:t xml:space="preserve">&lt;*&gt; В случае невыполнения мероприятий, </w:t>
      </w:r>
      <w:r>
        <w:rPr>
          <w:rFonts w:ascii="Times New Roman" w:hAnsi="Times New Roman" w:cs="Times New Roman"/>
          <w:sz w:val="16"/>
          <w:szCs w:val="16"/>
        </w:rPr>
        <w:t xml:space="preserve">неосвоения</w:t>
      </w:r>
      <w:r>
        <w:rPr>
          <w:rFonts w:ascii="Times New Roman" w:hAnsi="Times New Roman" w:cs="Times New Roman"/>
          <w:sz w:val="16"/>
          <w:szCs w:val="16"/>
        </w:rPr>
        <w:t xml:space="preserve"> средств указать причины.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874"/>
        <w:jc w:val="both"/>
        <w:spacing w:after="0" w:afterAutospacing="0" w:line="240" w:lineRule="auto"/>
        <w:rPr>
          <w:rFonts w:ascii="Times New Roman" w:hAnsi="Times New Roman" w:cs="Times New Roman"/>
          <w:sz w:val="16"/>
          <w:szCs w:val="16"/>
        </w:rPr>
      </w:pPr>
      <w:r/>
      <w:hyperlink w:tooltip="#P2571" w:anchor="P2571" w:history="1">
        <w:r>
          <w:rPr>
            <w:rFonts w:ascii="Times New Roman" w:hAnsi="Times New Roman" w:cs="Times New Roman"/>
            <w:sz w:val="16"/>
            <w:szCs w:val="16"/>
          </w:rPr>
          <w:t xml:space="preserve">&lt;**&gt;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В случае отсутствия информации, строки нужно удалить. 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sectPr>
      <w:headerReference w:type="default" r:id="rId9"/>
      <w:footnotePr/>
      <w:endnotePr/>
      <w:type w:val="nextPage"/>
      <w:pgSz w:w="16838" w:h="11905" w:orient="landscape"/>
      <w:pgMar w:top="1701" w:right="1134" w:bottom="850" w:left="1134" w:header="624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5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7">
    <w:name w:val="Heading 1 Char"/>
    <w:basedOn w:val="702"/>
    <w:link w:val="693"/>
    <w:uiPriority w:val="9"/>
    <w:rPr>
      <w:rFonts w:ascii="Arial" w:hAnsi="Arial" w:eastAsia="Arial" w:cs="Arial"/>
      <w:sz w:val="40"/>
      <w:szCs w:val="40"/>
    </w:rPr>
  </w:style>
  <w:style w:type="character" w:styleId="678">
    <w:name w:val="Heading 2 Char"/>
    <w:basedOn w:val="702"/>
    <w:link w:val="694"/>
    <w:uiPriority w:val="9"/>
    <w:rPr>
      <w:rFonts w:ascii="Arial" w:hAnsi="Arial" w:eastAsia="Arial" w:cs="Arial"/>
      <w:sz w:val="34"/>
    </w:rPr>
  </w:style>
  <w:style w:type="character" w:styleId="679">
    <w:name w:val="Heading 3 Char"/>
    <w:basedOn w:val="702"/>
    <w:link w:val="695"/>
    <w:uiPriority w:val="9"/>
    <w:rPr>
      <w:rFonts w:ascii="Arial" w:hAnsi="Arial" w:eastAsia="Arial" w:cs="Arial"/>
      <w:sz w:val="30"/>
      <w:szCs w:val="30"/>
    </w:rPr>
  </w:style>
  <w:style w:type="character" w:styleId="680">
    <w:name w:val="Heading 4 Char"/>
    <w:basedOn w:val="702"/>
    <w:link w:val="696"/>
    <w:uiPriority w:val="9"/>
    <w:rPr>
      <w:rFonts w:ascii="Arial" w:hAnsi="Arial" w:eastAsia="Arial" w:cs="Arial"/>
      <w:b/>
      <w:bCs/>
      <w:sz w:val="26"/>
      <w:szCs w:val="26"/>
    </w:rPr>
  </w:style>
  <w:style w:type="character" w:styleId="681">
    <w:name w:val="Heading 5 Char"/>
    <w:basedOn w:val="702"/>
    <w:link w:val="697"/>
    <w:uiPriority w:val="9"/>
    <w:rPr>
      <w:rFonts w:ascii="Arial" w:hAnsi="Arial" w:eastAsia="Arial" w:cs="Arial"/>
      <w:b/>
      <w:bCs/>
      <w:sz w:val="24"/>
      <w:szCs w:val="24"/>
    </w:rPr>
  </w:style>
  <w:style w:type="character" w:styleId="682">
    <w:name w:val="Heading 6 Char"/>
    <w:basedOn w:val="702"/>
    <w:link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683">
    <w:name w:val="Heading 7 Char"/>
    <w:basedOn w:val="702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>
    <w:name w:val="Heading 8 Char"/>
    <w:basedOn w:val="70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685">
    <w:name w:val="Heading 9 Char"/>
    <w:basedOn w:val="702"/>
    <w:link w:val="701"/>
    <w:uiPriority w:val="9"/>
    <w:rPr>
      <w:rFonts w:ascii="Arial" w:hAnsi="Arial" w:eastAsia="Arial" w:cs="Arial"/>
      <w:i/>
      <w:iCs/>
      <w:sz w:val="21"/>
      <w:szCs w:val="21"/>
    </w:rPr>
  </w:style>
  <w:style w:type="character" w:styleId="686">
    <w:name w:val="Title Char"/>
    <w:basedOn w:val="702"/>
    <w:link w:val="716"/>
    <w:uiPriority w:val="10"/>
    <w:rPr>
      <w:sz w:val="48"/>
      <w:szCs w:val="48"/>
    </w:rPr>
  </w:style>
  <w:style w:type="character" w:styleId="687">
    <w:name w:val="Subtitle Char"/>
    <w:basedOn w:val="702"/>
    <w:link w:val="718"/>
    <w:uiPriority w:val="11"/>
    <w:rPr>
      <w:sz w:val="24"/>
      <w:szCs w:val="24"/>
    </w:rPr>
  </w:style>
  <w:style w:type="character" w:styleId="688">
    <w:name w:val="Quote Char"/>
    <w:link w:val="720"/>
    <w:uiPriority w:val="29"/>
    <w:rPr>
      <w:i/>
    </w:rPr>
  </w:style>
  <w:style w:type="character" w:styleId="689">
    <w:name w:val="Intense Quote Char"/>
    <w:link w:val="722"/>
    <w:uiPriority w:val="30"/>
    <w:rPr>
      <w:i/>
    </w:rPr>
  </w:style>
  <w:style w:type="character" w:styleId="690">
    <w:name w:val="Footnote Text Char"/>
    <w:link w:val="857"/>
    <w:uiPriority w:val="99"/>
    <w:rPr>
      <w:sz w:val="18"/>
    </w:rPr>
  </w:style>
  <w:style w:type="character" w:styleId="691">
    <w:name w:val="Endnote Text Char"/>
    <w:link w:val="860"/>
    <w:uiPriority w:val="99"/>
    <w:rPr>
      <w:sz w:val="20"/>
    </w:rPr>
  </w:style>
  <w:style w:type="paragraph" w:styleId="692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93">
    <w:name w:val="Heading 1"/>
    <w:basedOn w:val="692"/>
    <w:next w:val="692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4">
    <w:name w:val="Heading 2"/>
    <w:basedOn w:val="692"/>
    <w:next w:val="692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5">
    <w:name w:val="Heading 3"/>
    <w:basedOn w:val="692"/>
    <w:next w:val="692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6">
    <w:name w:val="Heading 4"/>
    <w:basedOn w:val="692"/>
    <w:next w:val="692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692"/>
    <w:next w:val="692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692"/>
    <w:next w:val="692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99">
    <w:name w:val="Heading 7"/>
    <w:basedOn w:val="692"/>
    <w:next w:val="692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00">
    <w:name w:val="Heading 8"/>
    <w:basedOn w:val="692"/>
    <w:next w:val="692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01">
    <w:name w:val="Heading 9"/>
    <w:basedOn w:val="692"/>
    <w:next w:val="692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Заголовок 1 Знак"/>
    <w:link w:val="693"/>
    <w:uiPriority w:val="9"/>
    <w:rPr>
      <w:rFonts w:ascii="Arial" w:hAnsi="Arial" w:eastAsia="Arial" w:cs="Arial"/>
      <w:sz w:val="40"/>
      <w:szCs w:val="40"/>
    </w:rPr>
  </w:style>
  <w:style w:type="character" w:styleId="706" w:customStyle="1">
    <w:name w:val="Заголовок 2 Знак"/>
    <w:link w:val="694"/>
    <w:uiPriority w:val="9"/>
    <w:rPr>
      <w:rFonts w:ascii="Arial" w:hAnsi="Arial" w:eastAsia="Arial" w:cs="Arial"/>
      <w:sz w:val="34"/>
    </w:rPr>
  </w:style>
  <w:style w:type="character" w:styleId="707" w:customStyle="1">
    <w:name w:val="Заголовок 3 Знак"/>
    <w:link w:val="695"/>
    <w:uiPriority w:val="9"/>
    <w:rPr>
      <w:rFonts w:ascii="Arial" w:hAnsi="Arial" w:eastAsia="Arial" w:cs="Arial"/>
      <w:sz w:val="30"/>
      <w:szCs w:val="30"/>
    </w:rPr>
  </w:style>
  <w:style w:type="character" w:styleId="708" w:customStyle="1">
    <w:name w:val="Заголовок 4 Знак"/>
    <w:link w:val="696"/>
    <w:uiPriority w:val="9"/>
    <w:rPr>
      <w:rFonts w:ascii="Arial" w:hAnsi="Arial" w:eastAsia="Arial" w:cs="Arial"/>
      <w:b/>
      <w:bCs/>
      <w:sz w:val="26"/>
      <w:szCs w:val="26"/>
    </w:rPr>
  </w:style>
  <w:style w:type="character" w:styleId="709" w:customStyle="1">
    <w:name w:val="Заголовок 5 Знак"/>
    <w:link w:val="697"/>
    <w:uiPriority w:val="9"/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Заголовок 6 Знак"/>
    <w:link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711" w:customStyle="1">
    <w:name w:val="Заголовок 7 Знак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2" w:customStyle="1">
    <w:name w:val="Заголовок 8 Знак"/>
    <w:link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713" w:customStyle="1">
    <w:name w:val="Заголовок 9 Знак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692"/>
    <w:uiPriority w:val="34"/>
    <w:qFormat/>
    <w:pPr>
      <w:contextualSpacing/>
      <w:ind w:left="720"/>
    </w:pPr>
  </w:style>
  <w:style w:type="paragraph" w:styleId="715">
    <w:name w:val="No Spacing"/>
    <w:uiPriority w:val="1"/>
    <w:qFormat/>
  </w:style>
  <w:style w:type="paragraph" w:styleId="716">
    <w:name w:val="Title"/>
    <w:basedOn w:val="692"/>
    <w:next w:val="692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 w:customStyle="1">
    <w:name w:val="Название Знак"/>
    <w:link w:val="716"/>
    <w:uiPriority w:val="10"/>
    <w:rPr>
      <w:sz w:val="48"/>
      <w:szCs w:val="48"/>
    </w:rPr>
  </w:style>
  <w:style w:type="paragraph" w:styleId="718">
    <w:name w:val="Subtitle"/>
    <w:basedOn w:val="692"/>
    <w:next w:val="692"/>
    <w:link w:val="719"/>
    <w:uiPriority w:val="11"/>
    <w:qFormat/>
    <w:pPr>
      <w:spacing w:before="200" w:after="200"/>
    </w:pPr>
    <w:rPr>
      <w:sz w:val="24"/>
      <w:szCs w:val="24"/>
    </w:rPr>
  </w:style>
  <w:style w:type="character" w:styleId="719" w:customStyle="1">
    <w:name w:val="Подзаголовок Знак"/>
    <w:link w:val="718"/>
    <w:uiPriority w:val="11"/>
    <w:rPr>
      <w:sz w:val="24"/>
      <w:szCs w:val="24"/>
    </w:rPr>
  </w:style>
  <w:style w:type="paragraph" w:styleId="720">
    <w:name w:val="Quote"/>
    <w:basedOn w:val="692"/>
    <w:next w:val="692"/>
    <w:link w:val="721"/>
    <w:uiPriority w:val="29"/>
    <w:qFormat/>
    <w:pPr>
      <w:ind w:left="720" w:right="720"/>
    </w:pPr>
    <w:rPr>
      <w:i/>
    </w:r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92"/>
    <w:next w:val="692"/>
    <w:link w:val="72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>
    <w:name w:val="Header"/>
    <w:basedOn w:val="692"/>
    <w:link w:val="8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5" w:customStyle="1">
    <w:name w:val="Header Char"/>
    <w:uiPriority w:val="99"/>
  </w:style>
  <w:style w:type="paragraph" w:styleId="726">
    <w:name w:val="Footer"/>
    <w:basedOn w:val="692"/>
    <w:link w:val="8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7" w:customStyle="1">
    <w:name w:val="Footer Char"/>
    <w:uiPriority w:val="99"/>
  </w:style>
  <w:style w:type="paragraph" w:styleId="728">
    <w:name w:val="Caption"/>
    <w:basedOn w:val="692"/>
    <w:next w:val="6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9" w:customStyle="1">
    <w:name w:val="Caption Char"/>
    <w:uiPriority w:val="99"/>
  </w:style>
  <w:style w:type="table" w:styleId="730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692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endnote text"/>
    <w:basedOn w:val="692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uiPriority w:val="99"/>
    <w:semiHidden/>
    <w:unhideWhenUsed/>
    <w:rPr>
      <w:vertAlign w:val="superscript"/>
    </w:rPr>
  </w:style>
  <w:style w:type="paragraph" w:styleId="863">
    <w:name w:val="toc 1"/>
    <w:basedOn w:val="692"/>
    <w:next w:val="692"/>
    <w:uiPriority w:val="39"/>
    <w:unhideWhenUsed/>
    <w:pPr>
      <w:spacing w:after="57"/>
    </w:pPr>
  </w:style>
  <w:style w:type="paragraph" w:styleId="864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865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866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867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868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869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870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871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692"/>
    <w:next w:val="692"/>
    <w:uiPriority w:val="99"/>
    <w:unhideWhenUsed/>
    <w:pPr>
      <w:spacing w:after="0"/>
    </w:pPr>
  </w:style>
  <w:style w:type="paragraph" w:styleId="874" w:customStyle="1">
    <w:name w:val="ConsPlusNormal"/>
    <w:link w:val="886"/>
    <w:pPr>
      <w:widowControl w:val="off"/>
    </w:pPr>
    <w:rPr>
      <w:rFonts w:eastAsia="Times New Roman" w:cs="Calibri"/>
      <w:sz w:val="22"/>
      <w:lang w:eastAsia="ru-RU"/>
    </w:rPr>
  </w:style>
  <w:style w:type="paragraph" w:styleId="875" w:customStyle="1">
    <w:name w:val="ConsPlusNonformat"/>
    <w:pPr>
      <w:widowControl w:val="off"/>
    </w:pPr>
    <w:rPr>
      <w:rFonts w:ascii="Courier New" w:hAnsi="Courier New" w:eastAsia="Times New Roman" w:cs="Courier New"/>
      <w:lang w:eastAsia="ru-RU"/>
    </w:rPr>
  </w:style>
  <w:style w:type="paragraph" w:styleId="876" w:customStyle="1">
    <w:name w:val="ConsPlusTitle"/>
    <w:pPr>
      <w:widowControl w:val="off"/>
    </w:pPr>
    <w:rPr>
      <w:rFonts w:eastAsia="Times New Roman" w:cs="Calibri"/>
      <w:b/>
      <w:sz w:val="22"/>
      <w:lang w:eastAsia="ru-RU"/>
    </w:rPr>
  </w:style>
  <w:style w:type="paragraph" w:styleId="877" w:customStyle="1">
    <w:name w:val="ConsPlusCell"/>
    <w:pPr>
      <w:widowControl w:val="off"/>
    </w:pPr>
    <w:rPr>
      <w:rFonts w:ascii="Courier New" w:hAnsi="Courier New" w:eastAsia="Times New Roman" w:cs="Courier New"/>
      <w:lang w:eastAsia="ru-RU"/>
    </w:rPr>
  </w:style>
  <w:style w:type="paragraph" w:styleId="878" w:customStyle="1">
    <w:name w:val="ConsPlusDocList"/>
    <w:pPr>
      <w:widowControl w:val="off"/>
    </w:pPr>
    <w:rPr>
      <w:rFonts w:ascii="Courier New" w:hAnsi="Courier New" w:eastAsia="Times New Roman" w:cs="Courier New"/>
      <w:lang w:eastAsia="ru-RU"/>
    </w:rPr>
  </w:style>
  <w:style w:type="paragraph" w:styleId="879" w:customStyle="1">
    <w:name w:val="ConsPlusTitlePage"/>
    <w:pPr>
      <w:widowControl w:val="off"/>
    </w:pPr>
    <w:rPr>
      <w:rFonts w:ascii="Tahoma" w:hAnsi="Tahoma" w:eastAsia="Times New Roman" w:cs="Tahoma"/>
      <w:lang w:eastAsia="ru-RU"/>
    </w:rPr>
  </w:style>
  <w:style w:type="paragraph" w:styleId="880" w:customStyle="1">
    <w:name w:val="ConsPlusJurTerm"/>
    <w:pPr>
      <w:widowControl w:val="off"/>
    </w:pPr>
    <w:rPr>
      <w:rFonts w:ascii="Tahoma" w:hAnsi="Tahoma" w:eastAsia="Times New Roman" w:cs="Tahoma"/>
      <w:lang w:eastAsia="ru-RU"/>
    </w:rPr>
  </w:style>
  <w:style w:type="paragraph" w:styleId="881" w:customStyle="1">
    <w:name w:val="ConsPlusTextList"/>
    <w:pPr>
      <w:widowControl w:val="off"/>
    </w:pPr>
    <w:rPr>
      <w:rFonts w:ascii="Arial" w:hAnsi="Arial" w:eastAsia="Times New Roman" w:cs="Arial"/>
      <w:lang w:eastAsia="ru-RU"/>
    </w:rPr>
  </w:style>
  <w:style w:type="character" w:styleId="882" w:customStyle="1">
    <w:name w:val="Верхний колонтитул Знак"/>
    <w:basedOn w:val="702"/>
    <w:link w:val="724"/>
    <w:uiPriority w:val="99"/>
  </w:style>
  <w:style w:type="character" w:styleId="883" w:customStyle="1">
    <w:name w:val="Нижний колонтитул Знак"/>
    <w:basedOn w:val="702"/>
    <w:link w:val="726"/>
    <w:uiPriority w:val="99"/>
  </w:style>
  <w:style w:type="paragraph" w:styleId="884">
    <w:name w:val="Balloon Text"/>
    <w:basedOn w:val="692"/>
    <w:link w:val="88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5" w:customStyle="1">
    <w:name w:val="Текст выноски Знак"/>
    <w:link w:val="884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86" w:customStyle="1">
    <w:name w:val="ConsPlusNormal Знак"/>
    <w:link w:val="874"/>
    <w:rPr>
      <w:rFonts w:eastAsia="Times New Roman" w:cs="Calibri"/>
      <w:sz w:val="22"/>
    </w:rPr>
  </w:style>
  <w:style w:type="character" w:styleId="887">
    <w:name w:val="annotation reference"/>
    <w:uiPriority w:val="99"/>
    <w:semiHidden/>
    <w:unhideWhenUsed/>
    <w:rPr>
      <w:sz w:val="16"/>
      <w:szCs w:val="16"/>
    </w:rPr>
  </w:style>
  <w:style w:type="paragraph" w:styleId="888">
    <w:name w:val="annotation text"/>
    <w:basedOn w:val="692"/>
    <w:link w:val="889"/>
    <w:uiPriority w:val="99"/>
    <w:semiHidden/>
    <w:unhideWhenUsed/>
    <w:rPr>
      <w:sz w:val="20"/>
      <w:szCs w:val="20"/>
    </w:rPr>
  </w:style>
  <w:style w:type="character" w:styleId="889" w:customStyle="1">
    <w:name w:val="Текст примечания Знак"/>
    <w:link w:val="888"/>
    <w:uiPriority w:val="99"/>
    <w:semiHidden/>
    <w:rPr>
      <w:lang w:eastAsia="en-US"/>
    </w:rPr>
  </w:style>
  <w:style w:type="paragraph" w:styleId="890">
    <w:name w:val="annotation subject"/>
    <w:basedOn w:val="888"/>
    <w:next w:val="888"/>
    <w:link w:val="891"/>
    <w:uiPriority w:val="99"/>
    <w:semiHidden/>
    <w:unhideWhenUsed/>
    <w:rPr>
      <w:b/>
      <w:bCs/>
    </w:rPr>
  </w:style>
  <w:style w:type="character" w:styleId="891" w:customStyle="1">
    <w:name w:val="Тема примечания Знак"/>
    <w:link w:val="890"/>
    <w:uiPriority w:val="99"/>
    <w:semiHidden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Правительство ЕАО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Варваренко Альбина Петровна</dc:creator>
  <cp:revision>18</cp:revision>
  <dcterms:created xsi:type="dcterms:W3CDTF">2022-01-27T03:58:00Z</dcterms:created>
  <dcterms:modified xsi:type="dcterms:W3CDTF">2024-02-06T04:07:43Z</dcterms:modified>
  <cp:version>917504</cp:version>
</cp:coreProperties>
</file>